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8B6FB">
      <w:pPr>
        <w:pStyle w:val="2"/>
        <w:spacing w:after="340" w:line="240" w:lineRule="auto"/>
        <w:jc w:val="both"/>
        <w:rPr>
          <w:rFonts w:hint="eastAsia" w:ascii="微软雅黑" w:hAnsi="微软雅黑" w:eastAsia="微软雅黑" w:cs="微软雅黑"/>
          <w:sz w:val="36"/>
          <w:szCs w:val="36"/>
        </w:rPr>
      </w:pPr>
    </w:p>
    <w:p w14:paraId="287F0E0A">
      <w:pPr>
        <w:pStyle w:val="2"/>
        <w:spacing w:after="340" w:line="240" w:lineRule="auto"/>
        <w:jc w:val="center"/>
        <w:rPr>
          <w:rFonts w:ascii="微软雅黑" w:hAnsi="微软雅黑" w:eastAsia="微软雅黑" w:cs="微软雅黑"/>
          <w:sz w:val="36"/>
          <w:szCs w:val="36"/>
        </w:rPr>
      </w:pPr>
      <w:r>
        <w:rPr>
          <w:rFonts w:hint="eastAsia" w:ascii="微软雅黑" w:hAnsi="微软雅黑" w:eastAsia="微软雅黑" w:cs="微软雅黑"/>
          <w:sz w:val="36"/>
          <w:szCs w:val="36"/>
        </w:rPr>
        <w:t>题目XXXXX</w:t>
      </w:r>
      <w:r>
        <w:rPr>
          <w:rFonts w:hint="eastAsia" w:ascii="微软雅黑" w:hAnsi="微软雅黑" w:eastAsia="微软雅黑" w:cs="微软雅黑"/>
          <w:sz w:val="36"/>
          <w:szCs w:val="36"/>
          <w:highlight w:val="yellow"/>
        </w:rPr>
        <w:t xml:space="preserve">(标题字体：微软雅黑, </w:t>
      </w:r>
      <w:r>
        <w:rPr>
          <w:rFonts w:hint="eastAsia" w:ascii="微软雅黑" w:hAnsi="微软雅黑" w:eastAsia="微软雅黑" w:cs="微软雅黑"/>
          <w:sz w:val="36"/>
          <w:szCs w:val="36"/>
          <w:highlight w:val="yellow"/>
          <w:lang w:val="en-US" w:eastAsia="zh-CN"/>
        </w:rPr>
        <w:t>18号</w:t>
      </w:r>
      <w:r>
        <w:rPr>
          <w:rFonts w:hint="eastAsia" w:ascii="微软雅黑" w:hAnsi="微软雅黑" w:eastAsia="微软雅黑" w:cs="微软雅黑"/>
          <w:sz w:val="36"/>
          <w:szCs w:val="36"/>
          <w:highlight w:val="yellow"/>
        </w:rPr>
        <w:t>粗。段落：段前17磅，段后17磅，单倍行距）</w:t>
      </w:r>
    </w:p>
    <w:p w14:paraId="2D4A68A8">
      <w:pPr>
        <w:spacing w:after="280"/>
        <w:jc w:val="center"/>
        <w:rPr>
          <w:rFonts w:asciiTheme="majorEastAsia" w:hAnsiTheme="majorEastAsia" w:eastAsiaTheme="majorEastAsia" w:cstheme="majorEastAsia"/>
          <w:b/>
          <w:bCs/>
          <w:sz w:val="24"/>
          <w:szCs w:val="32"/>
        </w:rPr>
      </w:pPr>
      <w:r>
        <w:rPr>
          <w:rFonts w:hint="eastAsia" w:asciiTheme="majorEastAsia" w:hAnsiTheme="majorEastAsia" w:eastAsiaTheme="majorEastAsia" w:cstheme="majorEastAsia"/>
          <w:b/>
          <w:bCs/>
          <w:sz w:val="24"/>
          <w:szCs w:val="32"/>
        </w:rPr>
        <w:t>作者姓名</w:t>
      </w:r>
      <w:r>
        <w:rPr>
          <w:rFonts w:hint="eastAsia" w:asciiTheme="majorEastAsia" w:hAnsiTheme="majorEastAsia" w:eastAsiaTheme="majorEastAsia" w:cstheme="majorEastAsia"/>
          <w:b/>
          <w:bCs/>
          <w:sz w:val="24"/>
          <w:szCs w:val="32"/>
          <w:vertAlign w:val="superscript"/>
        </w:rPr>
        <w:t xml:space="preserve">1 </w:t>
      </w:r>
      <w:r>
        <w:rPr>
          <w:rFonts w:hint="eastAsia" w:asciiTheme="majorEastAsia" w:hAnsiTheme="majorEastAsia" w:eastAsiaTheme="majorEastAsia" w:cstheme="majorEastAsia"/>
          <w:b/>
          <w:bCs/>
          <w:sz w:val="24"/>
          <w:szCs w:val="32"/>
        </w:rPr>
        <w:t>作者姓名</w:t>
      </w:r>
      <w:r>
        <w:rPr>
          <w:rFonts w:hint="eastAsia" w:asciiTheme="majorEastAsia" w:hAnsiTheme="majorEastAsia" w:eastAsiaTheme="majorEastAsia" w:cstheme="majorEastAsia"/>
          <w:b/>
          <w:bCs/>
          <w:sz w:val="24"/>
          <w:szCs w:val="32"/>
          <w:vertAlign w:val="superscript"/>
        </w:rPr>
        <w:t>2</w:t>
      </w:r>
      <w:r>
        <w:rPr>
          <w:rFonts w:hint="eastAsia" w:asciiTheme="majorEastAsia" w:hAnsiTheme="majorEastAsia" w:eastAsiaTheme="majorEastAsia" w:cstheme="majorEastAsia"/>
          <w:b/>
          <w:bCs/>
          <w:sz w:val="24"/>
          <w:szCs w:val="32"/>
          <w:highlight w:val="yellow"/>
        </w:rPr>
        <w:t>（</w:t>
      </w:r>
      <w:r>
        <w:rPr>
          <w:rFonts w:hint="eastAsia" w:asciiTheme="minorEastAsia" w:hAnsiTheme="minorEastAsia" w:eastAsiaTheme="minorEastAsia" w:cstheme="minorEastAsia"/>
          <w:b/>
          <w:bCs/>
          <w:szCs w:val="21"/>
          <w:highlight w:val="yellow"/>
        </w:rPr>
        <w:t>字体：</w:t>
      </w:r>
      <w:r>
        <w:rPr>
          <w:rFonts w:hint="eastAsia" w:asciiTheme="majorEastAsia" w:hAnsiTheme="majorEastAsia" w:eastAsiaTheme="majorEastAsia" w:cstheme="majorEastAsia"/>
          <w:b/>
          <w:bCs/>
          <w:sz w:val="24"/>
          <w:szCs w:val="32"/>
          <w:highlight w:val="yellow"/>
        </w:rPr>
        <w:t>宋体小四加粗</w:t>
      </w:r>
      <w:r>
        <w:rPr>
          <w:rFonts w:hint="eastAsia" w:ascii="Times New Roman Regular" w:hAnsi="Times New Roman Regular" w:eastAsia="楷体" w:cs="Times New Roman Regular"/>
          <w:szCs w:val="18"/>
          <w:highlight w:val="yellow"/>
        </w:rPr>
        <w:t>段后14磅</w:t>
      </w:r>
      <w:r>
        <w:rPr>
          <w:rFonts w:hint="eastAsia" w:asciiTheme="majorEastAsia" w:hAnsiTheme="majorEastAsia" w:eastAsiaTheme="majorEastAsia" w:cstheme="majorEastAsia"/>
          <w:b/>
          <w:bCs/>
          <w:sz w:val="24"/>
          <w:szCs w:val="32"/>
          <w:highlight w:val="yellow"/>
        </w:rPr>
        <w:t>）</w:t>
      </w:r>
    </w:p>
    <w:p w14:paraId="1A9DB266">
      <w:pPr>
        <w:spacing w:after="28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（1.长春xx大学，吉林 长春130013，2.河北xx大学，河北 石家庄000000）</w:t>
      </w:r>
      <w:r>
        <w:rPr>
          <w:rFonts w:hint="eastAsia" w:asciiTheme="minorEastAsia" w:hAnsiTheme="minorEastAsia" w:eastAsiaTheme="minorEastAsia" w:cstheme="minorEastAsia"/>
          <w:b/>
          <w:bCs/>
          <w:szCs w:val="21"/>
          <w:highlight w:val="yellow"/>
        </w:rPr>
        <w:t>（字体：宋体五号</w:t>
      </w:r>
      <w:r>
        <w:rPr>
          <w:rFonts w:hint="eastAsia" w:ascii="Times New Roman Regular" w:hAnsi="Times New Roman Regular" w:eastAsia="楷体" w:cs="Times New Roman Regular"/>
          <w:szCs w:val="18"/>
          <w:highlight w:val="yellow"/>
        </w:rPr>
        <w:t>段后14磅</w:t>
      </w:r>
      <w:r>
        <w:rPr>
          <w:rFonts w:hint="eastAsia" w:asciiTheme="minorEastAsia" w:hAnsiTheme="minorEastAsia" w:eastAsiaTheme="minorEastAsia" w:cstheme="minorEastAsia"/>
          <w:b/>
          <w:bCs/>
          <w:szCs w:val="21"/>
          <w:highlight w:val="yellow"/>
        </w:rPr>
        <w:t>）</w:t>
      </w:r>
    </w:p>
    <w:p w14:paraId="2ED1C3D4">
      <w:pPr>
        <w:pStyle w:val="14"/>
        <w:keepNext w:val="0"/>
        <w:keepLines w:val="0"/>
        <w:pageBreakBefore w:val="0"/>
        <w:widowControl w:val="0"/>
        <w:kinsoku/>
        <w:wordWrap/>
        <w:overflowPunct/>
        <w:topLinePunct/>
        <w:autoSpaceDE/>
        <w:autoSpaceDN/>
        <w:bidi w:val="0"/>
        <w:adjustRightInd/>
        <w:snapToGrid/>
        <w:spacing w:before="20" w:after="120" w:line="300" w:lineRule="exact"/>
        <w:ind w:left="0" w:leftChars="0" w:firstLine="0" w:firstLineChars="0"/>
        <w:jc w:val="both"/>
        <w:textAlignment w:val="auto"/>
        <w:rPr>
          <w:rFonts w:hint="default" w:ascii="Times New Roman" w:hAnsi="Times New Roman" w:eastAsia="宋体" w:cs="Times New Roman"/>
          <w:b w:val="0"/>
          <w:i w:val="0"/>
          <w:sz w:val="22"/>
          <w:szCs w:val="18"/>
        </w:rPr>
      </w:pPr>
      <w:r>
        <w:rPr>
          <w:rFonts w:hint="eastAsia" w:ascii="Times New Roman" w:hAnsi="Times New Roman" w:eastAsia="微软雅黑" w:cs="微软雅黑"/>
          <w:b w:val="0"/>
          <w:i w:val="0"/>
          <w:sz w:val="22"/>
          <w:szCs w:val="18"/>
        </w:rPr>
        <w:t>摘  要</w:t>
      </w:r>
      <w:r>
        <w:rPr>
          <w:rFonts w:hint="default" w:ascii="Times New Roman" w:hAnsi="Times New Roman" w:eastAsia="楷体" w:cs="Times New Roman"/>
          <w:b w:val="0"/>
          <w:i w:val="0"/>
          <w:sz w:val="22"/>
          <w:szCs w:val="18"/>
        </w:rPr>
        <w:t>：国际学研</w:t>
      </w:r>
      <w:bookmarkStart w:id="0" w:name="_GoBack"/>
      <w:bookmarkEnd w:id="0"/>
      <w:r>
        <w:rPr>
          <w:rFonts w:hint="default" w:ascii="Times New Roman" w:hAnsi="Times New Roman" w:eastAsia="楷体" w:cs="Times New Roman"/>
          <w:b w:val="0"/>
          <w:i w:val="0"/>
          <w:sz w:val="22"/>
          <w:szCs w:val="18"/>
        </w:rPr>
        <w:t>究采用SATI文献题录信息统计分析工具统计分析我国核心期刊双师型队伍研究情况。数据来源于CNKI数据库，发表日期为1994年--2024年。</w:t>
      </w:r>
      <w:r>
        <w:rPr>
          <w:rFonts w:hint="default" w:ascii="Times New Roman" w:hAnsi="Times New Roman" w:eastAsia="楷体" w:cs="Times New Roman"/>
          <w:b w:val="0"/>
          <w:i w:val="0"/>
          <w:sz w:val="22"/>
          <w:szCs w:val="18"/>
          <w:highlight w:val="yellow"/>
        </w:rPr>
        <w:t>（字体：楷体1</w:t>
      </w:r>
      <w:r>
        <w:rPr>
          <w:rFonts w:hint="eastAsia" w:ascii="Times New Roman" w:hAnsi="Times New Roman" w:eastAsia="楷体" w:cs="Times New Roman"/>
          <w:b w:val="0"/>
          <w:i w:val="0"/>
          <w:sz w:val="22"/>
          <w:szCs w:val="18"/>
          <w:highlight w:val="yellow"/>
          <w:lang w:val="en-US" w:eastAsia="zh-CN"/>
        </w:rPr>
        <w:t>1</w:t>
      </w:r>
      <w:r>
        <w:rPr>
          <w:rFonts w:hint="default" w:ascii="Times New Roman" w:hAnsi="Times New Roman" w:eastAsia="楷体" w:cs="Times New Roman"/>
          <w:b w:val="0"/>
          <w:i w:val="0"/>
          <w:sz w:val="22"/>
          <w:szCs w:val="18"/>
          <w:highlight w:val="yellow"/>
        </w:rPr>
        <w:t>号，两端对齐，行距固定值14磅,段后6磅）</w:t>
      </w:r>
    </w:p>
    <w:p w14:paraId="40526E83">
      <w:pPr>
        <w:pStyle w:val="14"/>
        <w:keepNext w:val="0"/>
        <w:keepLines w:val="0"/>
        <w:pageBreakBefore w:val="0"/>
        <w:widowControl w:val="0"/>
        <w:kinsoku/>
        <w:wordWrap/>
        <w:overflowPunct/>
        <w:topLinePunct/>
        <w:autoSpaceDE/>
        <w:autoSpaceDN/>
        <w:bidi w:val="0"/>
        <w:adjustRightInd/>
        <w:snapToGrid/>
        <w:spacing w:before="20" w:after="120" w:line="300" w:lineRule="exact"/>
        <w:ind w:left="0" w:leftChars="0" w:firstLine="0" w:firstLineChars="0"/>
        <w:jc w:val="left"/>
        <w:textAlignment w:val="auto"/>
        <w:rPr>
          <w:rFonts w:hint="default" w:ascii="Times New Roman" w:hAnsi="Times New Roman" w:eastAsia="宋体" w:cs="Times New Roman"/>
          <w:b w:val="0"/>
          <w:i w:val="0"/>
          <w:sz w:val="22"/>
          <w:szCs w:val="18"/>
        </w:rPr>
      </w:pPr>
      <w:r>
        <w:rPr>
          <w:rFonts w:hint="eastAsia" w:ascii="Times New Roman" w:hAnsi="Times New Roman" w:eastAsia="微软雅黑" w:cs="微软雅黑"/>
          <w:b w:val="0"/>
          <w:i w:val="0"/>
          <w:sz w:val="22"/>
          <w:szCs w:val="18"/>
        </w:rPr>
        <w:t>关键词</w:t>
      </w:r>
      <w:r>
        <w:rPr>
          <w:rFonts w:hint="default" w:ascii="Times New Roman" w:hAnsi="Times New Roman" w:eastAsia="楷体" w:cs="Times New Roman"/>
          <w:b w:val="0"/>
          <w:i w:val="0"/>
          <w:sz w:val="22"/>
          <w:szCs w:val="18"/>
        </w:rPr>
        <w:t>：国际学生；安全管理；文化适应；国家安全</w:t>
      </w:r>
      <w:r>
        <w:rPr>
          <w:rFonts w:hint="default" w:ascii="Times New Roman" w:hAnsi="Times New Roman" w:eastAsia="楷体" w:cs="Times New Roman"/>
          <w:b w:val="0"/>
          <w:i w:val="0"/>
          <w:sz w:val="22"/>
          <w:szCs w:val="18"/>
          <w:highlight w:val="yellow"/>
        </w:rPr>
        <w:t>（字体：楷体1</w:t>
      </w:r>
      <w:r>
        <w:rPr>
          <w:rFonts w:hint="eastAsia" w:ascii="Times New Roman" w:hAnsi="Times New Roman" w:eastAsia="楷体" w:cs="Times New Roman"/>
          <w:b w:val="0"/>
          <w:i w:val="0"/>
          <w:sz w:val="22"/>
          <w:szCs w:val="18"/>
          <w:highlight w:val="yellow"/>
          <w:lang w:val="en-US" w:eastAsia="zh-CN"/>
        </w:rPr>
        <w:t>1</w:t>
      </w:r>
      <w:r>
        <w:rPr>
          <w:rFonts w:hint="default" w:ascii="Times New Roman" w:hAnsi="Times New Roman" w:eastAsia="楷体" w:cs="Times New Roman"/>
          <w:b w:val="0"/>
          <w:i w:val="0"/>
          <w:sz w:val="22"/>
          <w:szCs w:val="18"/>
          <w:highlight w:val="yellow"/>
        </w:rPr>
        <w:t>号，两端对齐，行距固定值14磅段后6磅）</w:t>
      </w:r>
    </w:p>
    <w:p w14:paraId="356670E8">
      <w:pPr>
        <w:pStyle w:val="14"/>
        <w:keepNext w:val="0"/>
        <w:keepLines w:val="0"/>
        <w:pageBreakBefore w:val="0"/>
        <w:widowControl w:val="0"/>
        <w:kinsoku/>
        <w:wordWrap/>
        <w:overflowPunct/>
        <w:topLinePunct/>
        <w:autoSpaceDE/>
        <w:autoSpaceDN/>
        <w:bidi w:val="0"/>
        <w:adjustRightInd/>
        <w:snapToGrid/>
        <w:spacing w:before="20" w:after="120" w:line="300" w:lineRule="exact"/>
        <w:ind w:left="0" w:leftChars="0" w:firstLine="0" w:firstLineChars="0"/>
        <w:jc w:val="both"/>
        <w:textAlignment w:val="auto"/>
        <w:rPr>
          <w:rFonts w:hint="default" w:ascii="Times New Roman" w:hAnsi="Times New Roman" w:eastAsia="宋体" w:cs="Times New Roman"/>
          <w:b w:val="0"/>
          <w:i w:val="0"/>
          <w:sz w:val="22"/>
          <w:szCs w:val="18"/>
          <w:highlight w:val="yellow"/>
        </w:rPr>
      </w:pPr>
      <w:r>
        <w:rPr>
          <w:rFonts w:hint="eastAsia" w:ascii="Times New Roman" w:hAnsi="Times New Roman" w:eastAsia="微软雅黑" w:cs="微软雅黑"/>
          <w:b w:val="0"/>
          <w:i w:val="0"/>
          <w:sz w:val="22"/>
          <w:szCs w:val="18"/>
        </w:rPr>
        <w:t>基金项目</w:t>
      </w:r>
      <w:r>
        <w:rPr>
          <w:rFonts w:hint="default" w:ascii="Times New Roman" w:hAnsi="Times New Roman" w:eastAsia="楷体" w:cs="Times New Roman"/>
          <w:b w:val="0"/>
          <w:i w:val="0"/>
          <w:sz w:val="22"/>
          <w:szCs w:val="18"/>
        </w:rPr>
        <w:t>：国家自然科学基金(编号)；中国博士后科学基金(编号)</w:t>
      </w:r>
      <w:r>
        <w:rPr>
          <w:rFonts w:hint="default" w:ascii="Times New Roman" w:hAnsi="Times New Roman" w:eastAsia="楷体" w:cs="Times New Roman"/>
          <w:b w:val="0"/>
          <w:i w:val="0"/>
          <w:sz w:val="22"/>
          <w:szCs w:val="18"/>
          <w:highlight w:val="yellow"/>
        </w:rPr>
        <w:t>（字体：楷体1</w:t>
      </w:r>
      <w:r>
        <w:rPr>
          <w:rFonts w:hint="eastAsia" w:ascii="Times New Roman" w:hAnsi="Times New Roman" w:eastAsia="楷体" w:cs="Times New Roman"/>
          <w:b w:val="0"/>
          <w:i w:val="0"/>
          <w:sz w:val="22"/>
          <w:szCs w:val="18"/>
          <w:highlight w:val="yellow"/>
          <w:lang w:val="en-US" w:eastAsia="zh-CN"/>
        </w:rPr>
        <w:t>1</w:t>
      </w:r>
      <w:r>
        <w:rPr>
          <w:rFonts w:hint="default" w:ascii="Times New Roman" w:hAnsi="Times New Roman" w:eastAsia="楷体" w:cs="Times New Roman"/>
          <w:b w:val="0"/>
          <w:i w:val="0"/>
          <w:sz w:val="22"/>
          <w:szCs w:val="18"/>
          <w:highlight w:val="yellow"/>
        </w:rPr>
        <w:t>号，两端对齐，行距固定值14磅,段后6磅）无基金请删除</w:t>
      </w:r>
    </w:p>
    <w:p w14:paraId="36063B8A">
      <w:pPr>
        <w:pStyle w:val="14"/>
        <w:spacing w:after="120" w:line="280" w:lineRule="exact"/>
        <w:ind w:firstLine="0" w:firstLineChars="0"/>
        <w:rPr>
          <w:rFonts w:hint="eastAsia" w:ascii="Times New Roman Regular" w:hAnsi="Times New Roman Regular" w:eastAsia="楷体" w:cs="Times New Roman Regular"/>
          <w:color w:val="auto"/>
          <w:szCs w:val="18"/>
          <w:lang w:val="en-US" w:eastAsia="zh-CN"/>
        </w:rPr>
      </w:pPr>
      <w:r>
        <w:rPr>
          <w:rFonts w:ascii="Times New Roman Regular" w:hAnsi="Times New Roman Regular" w:eastAsia="微软雅黑" w:cs="Times New Roman Regular"/>
          <w:szCs w:val="18"/>
        </w:rPr>
        <w:t>DOI</w:t>
      </w:r>
      <w:r>
        <w:rPr>
          <w:rFonts w:ascii="Times New Roman Regular" w:hAnsi="Times New Roman Regular" w:eastAsia="楷体" w:cs="Times New Roman Regular"/>
          <w:szCs w:val="18"/>
        </w:rPr>
        <w:t>：</w:t>
      </w:r>
      <w:r>
        <w:rPr>
          <w:rFonts w:ascii="Times New Roman Regular" w:hAnsi="Times New Roman Regular" w:eastAsia="楷体" w:cs="Times New Roman Regular"/>
          <w:color w:val="auto"/>
          <w:szCs w:val="18"/>
        </w:rPr>
        <w:t>doi.org/</w:t>
      </w:r>
      <w:r>
        <w:rPr>
          <w:rFonts w:hint="eastAsia" w:ascii="Times New Roman Regular" w:hAnsi="Times New Roman Regular" w:eastAsia="楷体" w:cs="Times New Roman Regular"/>
          <w:color w:val="auto"/>
          <w:szCs w:val="18"/>
          <w:lang w:val="en-US" w:eastAsia="zh-CN"/>
        </w:rPr>
        <w:t>10.70693</w:t>
      </w:r>
    </w:p>
    <w:p w14:paraId="208E7765">
      <w:pPr>
        <w:jc w:val="center"/>
        <w:rPr>
          <w:rFonts w:ascii="Times New Roman Bold" w:hAnsi="Times New Roman Bold" w:eastAsia="宋体" w:cs="Times New Roman Bold"/>
          <w:b/>
          <w:bCs/>
          <w:iCs/>
          <w:sz w:val="20"/>
          <w:szCs w:val="20"/>
        </w:rPr>
      </w:pPr>
      <w:r>
        <w:rPr>
          <w:rFonts w:ascii="Times New Roman Bold" w:hAnsi="Times New Roman Bold" w:eastAsia="宋体" w:cs="Times New Roman Bold"/>
          <w:b/>
          <w:bCs/>
          <w:iCs/>
          <w:sz w:val="28"/>
          <w:szCs w:val="28"/>
        </w:rPr>
        <w:t>(Times New Roman, 14, Bold)</w:t>
      </w:r>
    </w:p>
    <w:p w14:paraId="08475458">
      <w:pPr>
        <w:spacing w:after="120"/>
        <w:jc w:val="center"/>
        <w:rPr>
          <w:rFonts w:ascii="Times New Roman Bold" w:hAnsi="Times New Roman Bold" w:eastAsia="宋体" w:cs="Times New Roman Bold"/>
          <w:b/>
          <w:bCs/>
          <w:iCs/>
          <w:sz w:val="20"/>
          <w:szCs w:val="20"/>
        </w:rPr>
      </w:pPr>
      <w:r>
        <w:rPr>
          <w:rFonts w:ascii="Times New Roman Bold" w:hAnsi="Times New Roman Bold" w:eastAsia="宋体" w:cs="Times New Roman Bold"/>
          <w:b/>
          <w:bCs/>
          <w:iCs/>
          <w:sz w:val="20"/>
          <w:szCs w:val="20"/>
        </w:rPr>
        <w:t>Author</w:t>
      </w:r>
      <w:r>
        <w:rPr>
          <w:rFonts w:ascii="Times New Roman Bold" w:hAnsi="Times New Roman Bold" w:eastAsia="宋体" w:cs="Times New Roman Bold"/>
          <w:b/>
          <w:bCs/>
          <w:iCs/>
          <w:sz w:val="20"/>
          <w:szCs w:val="20"/>
          <w:vertAlign w:val="superscript"/>
        </w:rPr>
        <w:t>1</w:t>
      </w:r>
      <w:r>
        <w:rPr>
          <w:rFonts w:ascii="Times New Roman Bold" w:hAnsi="Times New Roman Bold" w:eastAsia="宋体" w:cs="Times New Roman Bold"/>
          <w:b/>
          <w:bCs/>
          <w:iCs/>
          <w:sz w:val="20"/>
          <w:szCs w:val="20"/>
        </w:rPr>
        <w:t>, Author</w:t>
      </w:r>
      <w:r>
        <w:rPr>
          <w:rFonts w:ascii="Times New Roman Bold" w:hAnsi="Times New Roman Bold" w:eastAsia="宋体" w:cs="Times New Roman Bold"/>
          <w:b/>
          <w:bCs/>
          <w:iCs/>
          <w:sz w:val="20"/>
          <w:szCs w:val="20"/>
          <w:vertAlign w:val="superscript"/>
        </w:rPr>
        <w:t>2</w:t>
      </w:r>
      <w:r>
        <w:rPr>
          <w:rFonts w:ascii="Times New Roman Bold" w:hAnsi="Times New Roman Bold" w:eastAsia="宋体" w:cs="Times New Roman Bold"/>
          <w:b/>
          <w:bCs/>
          <w:iCs/>
          <w:sz w:val="20"/>
          <w:szCs w:val="20"/>
          <w:highlight w:val="yellow"/>
        </w:rPr>
        <w:t>( Times New Roman, 1</w:t>
      </w:r>
      <w:r>
        <w:rPr>
          <w:rFonts w:hint="eastAsia" w:ascii="Times New Roman Bold" w:hAnsi="Times New Roman Bold" w:eastAsia="宋体" w:cs="Times New Roman Bold"/>
          <w:b/>
          <w:bCs/>
          <w:iCs/>
          <w:sz w:val="20"/>
          <w:szCs w:val="20"/>
          <w:highlight w:val="yellow"/>
        </w:rPr>
        <w:t>0</w:t>
      </w:r>
      <w:r>
        <w:rPr>
          <w:rFonts w:ascii="Times New Roman Bold" w:hAnsi="Times New Roman Bold" w:eastAsia="宋体" w:cs="Times New Roman Bold"/>
          <w:b/>
          <w:bCs/>
          <w:iCs/>
          <w:sz w:val="20"/>
          <w:szCs w:val="20"/>
          <w:highlight w:val="yellow"/>
        </w:rPr>
        <w:t>, Bold)</w:t>
      </w:r>
    </w:p>
    <w:p w14:paraId="43C41B10">
      <w:pPr>
        <w:spacing w:after="120"/>
        <w:jc w:val="center"/>
        <w:rPr>
          <w:rFonts w:ascii="Arial Bold" w:hAnsi="Arial Bold" w:eastAsia="宋体" w:cs="Arial Bold"/>
          <w:b/>
          <w:bCs/>
          <w:iCs/>
          <w:sz w:val="28"/>
          <w:szCs w:val="28"/>
        </w:rPr>
      </w:pPr>
      <w:r>
        <w:rPr>
          <w:rFonts w:ascii="Times New Roman Regular" w:hAnsi="Times New Roman Regular" w:eastAsia="宋体" w:cs="Times New Roman Regular"/>
          <w:i/>
          <w:sz w:val="20"/>
          <w:szCs w:val="20"/>
          <w:vertAlign w:val="superscript"/>
        </w:rPr>
        <w:t>1</w:t>
      </w:r>
      <w:r>
        <w:rPr>
          <w:rFonts w:ascii="Times New Roman Regular" w:hAnsi="Times New Roman Regular" w:eastAsia="宋体" w:cs="Times New Roman Regular"/>
          <w:i/>
          <w:sz w:val="20"/>
          <w:szCs w:val="20"/>
        </w:rPr>
        <w:t xml:space="preserve"> Affiliation，university name, city, country </w:t>
      </w:r>
      <w:r>
        <w:rPr>
          <w:rFonts w:ascii="Times New Roman Regular" w:hAnsi="Times New Roman Regular" w:eastAsia="宋体" w:cs="Times New Roman Regular"/>
          <w:i/>
          <w:sz w:val="20"/>
          <w:szCs w:val="20"/>
          <w:highlight w:val="yellow"/>
        </w:rPr>
        <w:t>(Times New Roman, 10, Italic)</w:t>
      </w:r>
      <w:r>
        <w:rPr>
          <w:rFonts w:ascii="Times New Roman Regular" w:hAnsi="Times New Roman Regular" w:eastAsia="宋体" w:cs="Times New Roman Regular"/>
          <w:i/>
          <w:sz w:val="20"/>
          <w:szCs w:val="20"/>
        </w:rPr>
        <w:br w:type="textWrapping"/>
      </w:r>
      <w:r>
        <w:rPr>
          <w:rFonts w:ascii="Times New Roman Regular" w:hAnsi="Times New Roman Regular" w:eastAsia="宋体" w:cs="Times New Roman Regular"/>
          <w:i/>
          <w:sz w:val="20"/>
          <w:szCs w:val="20"/>
          <w:vertAlign w:val="superscript"/>
        </w:rPr>
        <w:t xml:space="preserve">2 </w:t>
      </w:r>
      <w:r>
        <w:rPr>
          <w:rFonts w:ascii="Times New Roman Regular" w:hAnsi="Times New Roman Regular" w:eastAsia="宋体" w:cs="Times New Roman Regular"/>
          <w:i/>
          <w:sz w:val="20"/>
          <w:szCs w:val="20"/>
        </w:rPr>
        <w:t xml:space="preserve">Affiliation，university name, city, country </w:t>
      </w:r>
      <w:r>
        <w:rPr>
          <w:rFonts w:ascii="Times New Roman Regular" w:hAnsi="Times New Roman Regular" w:eastAsia="宋体" w:cs="Times New Roman Regular"/>
          <w:i/>
          <w:sz w:val="20"/>
          <w:szCs w:val="20"/>
          <w:highlight w:val="yellow"/>
        </w:rPr>
        <w:t>(Times New Roman, 10, Italic)</w:t>
      </w:r>
    </w:p>
    <w:p w14:paraId="13559F88">
      <w:pPr>
        <w:jc w:val="left"/>
        <w:rPr>
          <w:rFonts w:eastAsia="宋体" w:cs="Times New Roman"/>
          <w:sz w:val="20"/>
          <w:szCs w:val="20"/>
        </w:rPr>
      </w:pPr>
      <w:r>
        <w:rPr>
          <w:rFonts w:eastAsia="Times New Roman" w:cs="Times New Roman"/>
          <w:b/>
          <w:bCs/>
          <w:sz w:val="20"/>
          <w:szCs w:val="20"/>
        </w:rPr>
        <w:t>Abstract</w:t>
      </w:r>
      <w:r>
        <w:rPr>
          <w:rFonts w:eastAsia="宋体" w:cs="Times New Roman"/>
          <w:sz w:val="20"/>
          <w:szCs w:val="20"/>
        </w:rPr>
        <w:t>:</w:t>
      </w:r>
      <w:r>
        <w:rPr>
          <w:rFonts w:hint="eastAsia" w:eastAsia="宋体" w:cs="Times New Roman"/>
          <w:sz w:val="20"/>
          <w:szCs w:val="20"/>
          <w:highlight w:val="yellow"/>
        </w:rPr>
        <w:t>（英文摘要内容部分</w:t>
      </w:r>
      <w:r>
        <w:rPr>
          <w:rFonts w:eastAsia="Times New Roman" w:cs="Times New Roman"/>
          <w:sz w:val="20"/>
          <w:szCs w:val="20"/>
          <w:highlight w:val="yellow"/>
        </w:rPr>
        <w:t>Times New Roman, 1</w:t>
      </w:r>
      <w:r>
        <w:rPr>
          <w:rFonts w:hint="eastAsia" w:eastAsia="宋体" w:cs="Times New Roman"/>
          <w:sz w:val="20"/>
          <w:szCs w:val="20"/>
          <w:highlight w:val="yellow"/>
        </w:rPr>
        <w:t>0）</w:t>
      </w:r>
    </w:p>
    <w:p w14:paraId="52B7F51C">
      <w:pPr>
        <w:jc w:val="left"/>
        <w:rPr>
          <w:rFonts w:eastAsia="宋体" w:cs="Times New Roman"/>
          <w:sz w:val="20"/>
          <w:szCs w:val="20"/>
          <w:highlight w:val="yellow"/>
        </w:rPr>
      </w:pPr>
      <w:r>
        <w:rPr>
          <w:rFonts w:hint="eastAsia" w:eastAsia="宋体" w:cs="Times New Roman"/>
          <w:sz w:val="20"/>
          <w:szCs w:val="20"/>
          <w:highlight w:val="yellow"/>
        </w:rPr>
        <w:t>（</w:t>
      </w:r>
      <w:r>
        <w:rPr>
          <w:rFonts w:eastAsia="Times New Roman" w:cs="Times New Roman"/>
          <w:b/>
          <w:bCs/>
          <w:sz w:val="20"/>
          <w:szCs w:val="20"/>
          <w:highlight w:val="yellow"/>
        </w:rPr>
        <w:t>Abstract</w:t>
      </w:r>
      <w:r>
        <w:rPr>
          <w:rFonts w:hint="eastAsia" w:eastAsia="宋体" w:cs="Times New Roman"/>
          <w:b/>
          <w:bCs/>
          <w:sz w:val="20"/>
          <w:szCs w:val="20"/>
          <w:highlight w:val="yellow"/>
        </w:rPr>
        <w:t>和</w:t>
      </w:r>
      <w:r>
        <w:rPr>
          <w:rFonts w:eastAsia="Times New Roman" w:cs="Times New Roman"/>
          <w:b/>
          <w:bCs/>
          <w:sz w:val="20"/>
          <w:szCs w:val="20"/>
          <w:highlight w:val="yellow"/>
        </w:rPr>
        <w:t>Keywords</w:t>
      </w:r>
      <w:r>
        <w:rPr>
          <w:rFonts w:hint="eastAsia" w:eastAsia="宋体" w:cs="Times New Roman"/>
          <w:b/>
          <w:bCs/>
          <w:sz w:val="20"/>
          <w:szCs w:val="20"/>
          <w:highlight w:val="yellow"/>
        </w:rPr>
        <w:t>之间要有一个空行</w:t>
      </w:r>
      <w:r>
        <w:rPr>
          <w:rFonts w:hint="eastAsia" w:eastAsia="宋体" w:cs="Times New Roman"/>
          <w:sz w:val="20"/>
          <w:szCs w:val="20"/>
          <w:highlight w:val="yellow"/>
        </w:rPr>
        <w:t>）</w:t>
      </w:r>
    </w:p>
    <w:p w14:paraId="78629DD1">
      <w:pPr>
        <w:jc w:val="left"/>
        <w:rPr>
          <w:rFonts w:eastAsia="宋体" w:cs="Times New Roman"/>
          <w:sz w:val="20"/>
          <w:szCs w:val="20"/>
        </w:rPr>
      </w:pPr>
      <w:r>
        <w:rPr>
          <w:rFonts w:eastAsia="Times New Roman" w:cs="Times New Roman"/>
          <w:b/>
          <w:bCs/>
          <w:sz w:val="20"/>
          <w:szCs w:val="20"/>
        </w:rPr>
        <w:t>Keywords</w:t>
      </w:r>
      <w:r>
        <w:rPr>
          <w:rFonts w:eastAsia="宋体" w:cs="Times New Roman"/>
          <w:sz w:val="20"/>
          <w:szCs w:val="20"/>
        </w:rPr>
        <w:t>:</w:t>
      </w:r>
      <w:r>
        <w:rPr>
          <w:rFonts w:hint="eastAsia" w:eastAsia="宋体" w:cs="Times New Roman"/>
          <w:sz w:val="20"/>
          <w:szCs w:val="20"/>
          <w:highlight w:val="yellow"/>
        </w:rPr>
        <w:t>（英文关键词</w:t>
      </w:r>
      <w:r>
        <w:rPr>
          <w:rFonts w:eastAsia="Times New Roman" w:cs="Times New Roman"/>
          <w:sz w:val="20"/>
          <w:szCs w:val="20"/>
          <w:highlight w:val="yellow"/>
        </w:rPr>
        <w:t>Times New Roman, 1</w:t>
      </w:r>
      <w:r>
        <w:rPr>
          <w:rFonts w:hint="eastAsia" w:eastAsia="宋体" w:cs="Times New Roman"/>
          <w:sz w:val="20"/>
          <w:szCs w:val="20"/>
          <w:highlight w:val="yellow"/>
        </w:rPr>
        <w:t>0。关键字之间要用“;”连接）</w:t>
      </w:r>
    </w:p>
    <w:p w14:paraId="4209FAF2">
      <w:pPr>
        <w:pStyle w:val="14"/>
        <w:spacing w:after="120" w:line="280" w:lineRule="exact"/>
        <w:ind w:firstLine="0" w:firstLineChars="0"/>
        <w:rPr>
          <w:rFonts w:hint="default" w:ascii="Times New Roman Regular" w:hAnsi="Times New Roman Regular" w:eastAsia="楷体" w:cs="Times New Roman Regular"/>
          <w:color w:val="auto"/>
          <w:szCs w:val="18"/>
          <w:lang w:val="en-US" w:eastAsia="zh-CN"/>
        </w:rPr>
      </w:pPr>
    </w:p>
    <w:p w14:paraId="2826ED02">
      <w:pPr>
        <w:spacing w:line="288" w:lineRule="auto"/>
        <w:rPr>
          <w:rFonts w:asciiTheme="minorEastAsia" w:hAnsiTheme="minorEastAsia" w:eastAsiaTheme="minorEastAsia" w:cstheme="minorEastAsia"/>
          <w:szCs w:val="21"/>
        </w:rPr>
      </w:pPr>
      <w:r>
        <w:rPr>
          <w:rFonts w:hint="eastAsia" w:ascii="微软雅黑" w:hAnsi="微软雅黑" w:eastAsia="微软雅黑" w:cs="微软雅黑"/>
          <w:b/>
          <w:bCs/>
          <w:sz w:val="32"/>
          <w:szCs w:val="32"/>
          <w:highlight w:val="yellow"/>
          <w:u w:val="double"/>
          <w:lang w:val="en-US" w:eastAsia="zh-CN"/>
        </w:rPr>
        <w:t>版面费890元，</w:t>
      </w:r>
      <w:r>
        <w:rPr>
          <w:rFonts w:hint="eastAsia" w:ascii="微软雅黑" w:hAnsi="微软雅黑" w:eastAsia="微软雅黑" w:cs="微软雅黑"/>
          <w:b/>
          <w:bCs/>
          <w:sz w:val="32"/>
          <w:szCs w:val="32"/>
          <w:highlight w:val="yellow"/>
          <w:u w:val="double"/>
        </w:rPr>
        <w:t>篇幅不超过7页，超过的每页加收</w:t>
      </w:r>
      <w:r>
        <w:rPr>
          <w:rFonts w:hint="eastAsia" w:ascii="微软雅黑" w:hAnsi="微软雅黑" w:eastAsia="微软雅黑" w:cs="微软雅黑"/>
          <w:b/>
          <w:bCs/>
          <w:sz w:val="32"/>
          <w:szCs w:val="32"/>
          <w:highlight w:val="yellow"/>
          <w:u w:val="double"/>
          <w:lang w:val="en-US" w:eastAsia="zh-CN"/>
        </w:rPr>
        <w:t>1</w:t>
      </w:r>
      <w:r>
        <w:rPr>
          <w:rFonts w:hint="eastAsia" w:ascii="微软雅黑" w:hAnsi="微软雅黑" w:eastAsia="微软雅黑" w:cs="微软雅黑"/>
          <w:b/>
          <w:bCs/>
          <w:sz w:val="32"/>
          <w:szCs w:val="32"/>
          <w:highlight w:val="yellow"/>
          <w:u w:val="double"/>
        </w:rPr>
        <w:t>00元人民币。</w:t>
      </w:r>
    </w:p>
    <w:p w14:paraId="785F3153">
      <w:pPr>
        <w:spacing w:line="288" w:lineRule="auto"/>
        <w:ind w:firstLine="420" w:firstLineChars="200"/>
        <w:rPr>
          <w:rFonts w:ascii="微软雅黑" w:hAnsi="微软雅黑" w:eastAsia="微软雅黑" w:cs="微软雅黑"/>
          <w:b/>
          <w:bCs/>
          <w:szCs w:val="21"/>
          <w:highlight w:val="yellow"/>
        </w:rPr>
      </w:pPr>
      <w:r>
        <w:rPr>
          <w:rFonts w:hint="eastAsia" w:ascii="微软雅黑" w:hAnsi="微软雅黑" w:eastAsia="微软雅黑" w:cs="微软雅黑"/>
          <w:szCs w:val="21"/>
        </w:rPr>
        <w:t>正文部分</w:t>
      </w:r>
      <w:r>
        <w:rPr>
          <w:rFonts w:hint="eastAsia" w:ascii="微软雅黑" w:hAnsi="微软雅黑" w:eastAsia="微软雅黑" w:cs="微软雅黑"/>
          <w:szCs w:val="21"/>
          <w:highlight w:val="yellow"/>
        </w:rPr>
        <w:t>篇幅不超过7页</w:t>
      </w:r>
      <w:r>
        <w:rPr>
          <w:rFonts w:hint="eastAsia" w:ascii="微软雅黑" w:hAnsi="微软雅黑" w:eastAsia="微软雅黑" w:cs="微软雅黑"/>
          <w:b/>
          <w:bCs/>
          <w:szCs w:val="21"/>
          <w:highlight w:val="yellow"/>
        </w:rPr>
        <w:t>（字体：宋体10号，两端对齐，首行缩进2字符，行距固定值14磅）</w:t>
      </w:r>
    </w:p>
    <w:p w14:paraId="1477EB80">
      <w:pPr>
        <w:rPr>
          <w:rFonts w:asciiTheme="minorEastAsia" w:hAnsiTheme="minorEastAsia" w:eastAsiaTheme="minorEastAsia" w:cstheme="minorEastAsia"/>
          <w:szCs w:val="21"/>
        </w:rPr>
      </w:pPr>
    </w:p>
    <w:p w14:paraId="57923AFB">
      <w:pPr>
        <w:pStyle w:val="3"/>
        <w:spacing w:before="120" w:after="120" w:line="280" w:lineRule="exact"/>
        <w:rPr>
          <w:rFonts w:ascii="微软雅黑" w:hAnsi="微软雅黑" w:eastAsia="微软雅黑" w:cs="微软雅黑"/>
          <w:sz w:val="20"/>
          <w:szCs w:val="20"/>
          <w:highlight w:val="yellow"/>
        </w:rPr>
      </w:pPr>
      <w:r>
        <w:rPr>
          <w:rFonts w:hint="eastAsia" w:ascii="微软雅黑" w:hAnsi="微软雅黑" w:eastAsia="微软雅黑" w:cs="微软雅黑"/>
          <w:b w:val="0"/>
          <w:bCs/>
          <w:sz w:val="20"/>
          <w:szCs w:val="20"/>
        </w:rPr>
        <w:t>一级标题、二级标题</w:t>
      </w:r>
      <w:r>
        <w:rPr>
          <w:rFonts w:hint="eastAsia" w:ascii="微软雅黑" w:hAnsi="微软雅黑" w:eastAsia="微软雅黑" w:cs="微软雅黑"/>
          <w:sz w:val="20"/>
          <w:szCs w:val="20"/>
          <w:highlight w:val="yellow"/>
        </w:rPr>
        <w:t>（字体：微软雅黑，10号。段前6磅，段后6磅，行距固定值14磅）</w:t>
      </w:r>
    </w:p>
    <w:p w14:paraId="1FED92D7">
      <w:pPr>
        <w:spacing w:line="280" w:lineRule="exact"/>
        <w:ind w:firstLine="400" w:firstLineChars="200"/>
        <w:rPr>
          <w:rFonts w:asciiTheme="majorEastAsia" w:hAnsiTheme="majorEastAsia" w:eastAsiaTheme="majorEastAsia" w:cstheme="majorEastAsia"/>
          <w:sz w:val="20"/>
          <w:szCs w:val="20"/>
        </w:rPr>
        <w:sectPr>
          <w:footerReference r:id="rId4" w:type="first"/>
          <w:footerReference r:id="rId3" w:type="default"/>
          <w:pgSz w:w="11906" w:h="16838"/>
          <w:pgMar w:top="1497" w:right="1080" w:bottom="1440" w:left="1080" w:header="1247" w:footer="1020" w:gutter="0"/>
          <w:cols w:space="0" w:num="1"/>
          <w:titlePg/>
          <w:docGrid w:type="lines" w:linePitch="312" w:charSpace="0"/>
        </w:sectPr>
      </w:pPr>
    </w:p>
    <w:p w14:paraId="78270BE8">
      <w:pPr>
        <w:spacing w:line="280" w:lineRule="exact"/>
        <w:ind w:firstLine="400" w:firstLineChars="200"/>
        <w:rPr>
          <w:rFonts w:ascii="Times New Roman Regular" w:hAnsi="Times New Roman Regular" w:cs="Times New Roman Regular" w:eastAsiaTheme="majorEastAsia"/>
          <w:sz w:val="20"/>
          <w:szCs w:val="20"/>
        </w:rPr>
      </w:pPr>
      <w:r>
        <w:rPr>
          <w:rFonts w:ascii="Times New Roman Regular" w:hAnsi="Times New Roman Regular" w:cs="Times New Roman Regular" w:eastAsiaTheme="majorEastAsia"/>
          <w:sz w:val="20"/>
          <w:szCs w:val="20"/>
        </w:rPr>
        <w:t>世界各国都在推进国际学生教育工作，而针对国际学生安全的管理问题也是每个相关高校都较为重视的课题之一。正文部分篇幅不超过7页</w:t>
      </w:r>
      <w:r>
        <w:rPr>
          <w:rFonts w:ascii="Times New Roman Regular" w:hAnsi="Times New Roman Regular" w:cs="Times New Roman Regular" w:eastAsiaTheme="majorEastAsia"/>
          <w:sz w:val="20"/>
          <w:szCs w:val="20"/>
          <w:highlight w:val="yellow"/>
        </w:rPr>
        <w:t>（字体：宋体10号，两端对齐，首行缩进2字符，行距固定值14磅）</w:t>
      </w:r>
      <w:r>
        <w:rPr>
          <w:rFonts w:ascii="Times New Roman Regular" w:hAnsi="Times New Roman Regular" w:cs="Times New Roman Regular" w:eastAsiaTheme="majorEastAsia"/>
          <w:sz w:val="20"/>
          <w:szCs w:val="20"/>
        </w:rPr>
        <w:t>我国职业教育“双师型”师资的提法是20世纪80年代末提出的。在当代教育体系中，视觉艺术教育作为一种促进青少年心理发展的重要方式，正逐渐获得越来越多的关注。不同于传统的知识传授型学科，视觉艺术训练通过绘画、雕塑、摄影等多种媒介，为青少年提供了一个自由探索与个性表达的平台，使其能够在创作过程中不断建构自我认知，激发创造潜能，同时增强情感体验与社会归属感。</w:t>
      </w:r>
    </w:p>
    <w:p w14:paraId="0D00C044">
      <w:pPr>
        <w:spacing w:line="280" w:lineRule="exact"/>
        <w:ind w:firstLine="400" w:firstLineChars="200"/>
        <w:jc w:val="center"/>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 xml:space="preserve">表1 视觉艺术 </w:t>
      </w:r>
      <w:r>
        <w:rPr>
          <w:rFonts w:hint="eastAsia" w:asciiTheme="minorEastAsia" w:hAnsiTheme="minorEastAsia" w:eastAsiaTheme="minorEastAsia" w:cstheme="minorEastAsia"/>
          <w:color w:val="000000"/>
          <w:kern w:val="0"/>
          <w:sz w:val="20"/>
          <w:szCs w:val="20"/>
          <w:highlight w:val="yellow"/>
          <w:lang w:bidi="ar"/>
        </w:rPr>
        <w:t>字体：宋体10号居中</w:t>
      </w:r>
    </w:p>
    <w:tbl>
      <w:tblPr>
        <w:tblStyle w:val="8"/>
        <w:tblW w:w="4280" w:type="pct"/>
        <w:jc w:val="center"/>
        <w:tblLayout w:type="autofit"/>
        <w:tblCellMar>
          <w:top w:w="0" w:type="dxa"/>
          <w:left w:w="108" w:type="dxa"/>
          <w:bottom w:w="0" w:type="dxa"/>
          <w:right w:w="108" w:type="dxa"/>
        </w:tblCellMar>
      </w:tblPr>
      <w:tblGrid>
        <w:gridCol w:w="1871"/>
        <w:gridCol w:w="3069"/>
        <w:gridCol w:w="3587"/>
      </w:tblGrid>
      <w:tr w14:paraId="3D1C5DCF">
        <w:trPr>
          <w:trHeight w:val="23" w:hRule="atLeast"/>
          <w:jc w:val="center"/>
        </w:trPr>
        <w:tc>
          <w:tcPr>
            <w:tcW w:w="1097" w:type="pct"/>
            <w:tcBorders>
              <w:top w:val="single" w:color="000000" w:sz="12" w:space="0"/>
              <w:left w:val="nil"/>
              <w:bottom w:val="single" w:color="000000" w:sz="4" w:space="0"/>
              <w:right w:val="nil"/>
              <w:tl2br w:val="nil"/>
            </w:tcBorders>
            <w:shd w:val="clear" w:color="auto" w:fill="FFFFFF"/>
            <w:vAlign w:val="center"/>
          </w:tcPr>
          <w:p w14:paraId="70DCA347">
            <w:pPr>
              <w:widowControl/>
              <w:spacing w:line="280" w:lineRule="exact"/>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机制类别</w:t>
            </w:r>
          </w:p>
        </w:tc>
        <w:tc>
          <w:tcPr>
            <w:tcW w:w="1799" w:type="pct"/>
            <w:tcBorders>
              <w:top w:val="single" w:color="000000" w:sz="12" w:space="0"/>
              <w:left w:val="nil"/>
              <w:bottom w:val="single" w:color="000000" w:sz="4" w:space="0"/>
              <w:right w:val="nil"/>
            </w:tcBorders>
            <w:shd w:val="clear" w:color="auto" w:fill="FFFFFF"/>
            <w:vAlign w:val="center"/>
          </w:tcPr>
          <w:p w14:paraId="5B70CBEF">
            <w:pPr>
              <w:widowControl/>
              <w:spacing w:line="280" w:lineRule="exact"/>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具体表现</w:t>
            </w:r>
          </w:p>
        </w:tc>
        <w:tc>
          <w:tcPr>
            <w:tcW w:w="2103" w:type="pct"/>
            <w:tcBorders>
              <w:top w:val="single" w:color="000000" w:sz="12" w:space="0"/>
              <w:left w:val="nil"/>
              <w:bottom w:val="single" w:color="000000" w:sz="4" w:space="0"/>
              <w:right w:val="nil"/>
            </w:tcBorders>
            <w:shd w:val="clear" w:color="auto" w:fill="FFFFFF"/>
            <w:vAlign w:val="center"/>
          </w:tcPr>
          <w:p w14:paraId="114C7475">
            <w:pPr>
              <w:widowControl/>
              <w:spacing w:line="280" w:lineRule="exact"/>
              <w:ind w:firstLine="400" w:firstLineChars="200"/>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促进路径</w:t>
            </w:r>
          </w:p>
        </w:tc>
      </w:tr>
      <w:tr w14:paraId="33C441EA">
        <w:trPr>
          <w:trHeight w:val="23" w:hRule="atLeast"/>
          <w:jc w:val="center"/>
        </w:trPr>
        <w:tc>
          <w:tcPr>
            <w:tcW w:w="1097" w:type="pct"/>
            <w:tcBorders>
              <w:top w:val="single" w:color="000000" w:sz="4" w:space="0"/>
              <w:left w:val="nil"/>
              <w:bottom w:val="nil"/>
              <w:right w:val="nil"/>
            </w:tcBorders>
            <w:shd w:val="clear" w:color="auto" w:fill="FFFFFF"/>
            <w:vAlign w:val="center"/>
          </w:tcPr>
          <w:p w14:paraId="0447959C">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highlight w:val="yellow"/>
                <w:lang w:bidi="ar"/>
              </w:rPr>
              <w:t>使用三线表</w:t>
            </w:r>
          </w:p>
        </w:tc>
        <w:tc>
          <w:tcPr>
            <w:tcW w:w="1799" w:type="pct"/>
            <w:tcBorders>
              <w:top w:val="single" w:color="000000" w:sz="4" w:space="0"/>
              <w:left w:val="nil"/>
              <w:bottom w:val="nil"/>
              <w:right w:val="nil"/>
            </w:tcBorders>
            <w:shd w:val="clear" w:color="auto" w:fill="FFFFFF"/>
            <w:vAlign w:val="center"/>
          </w:tcPr>
          <w:p w14:paraId="4943391E">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highlight w:val="yellow"/>
                <w:lang w:bidi="ar"/>
              </w:rPr>
              <w:t>字体：宋体10号居中</w:t>
            </w:r>
          </w:p>
        </w:tc>
        <w:tc>
          <w:tcPr>
            <w:tcW w:w="2103" w:type="pct"/>
            <w:tcBorders>
              <w:top w:val="single" w:color="000000" w:sz="4" w:space="0"/>
              <w:left w:val="nil"/>
              <w:bottom w:val="nil"/>
              <w:right w:val="nil"/>
            </w:tcBorders>
            <w:shd w:val="clear" w:color="auto" w:fill="FFFFFF"/>
            <w:vAlign w:val="center"/>
          </w:tcPr>
          <w:p w14:paraId="32F31DA0">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sz w:val="20"/>
                <w:szCs w:val="20"/>
                <w:highlight w:val="yellow"/>
              </w:rPr>
              <w:t>行距固定值10</w:t>
            </w:r>
          </w:p>
        </w:tc>
      </w:tr>
      <w:tr w14:paraId="4E9BE124">
        <w:trPr>
          <w:trHeight w:val="23" w:hRule="atLeast"/>
          <w:jc w:val="center"/>
        </w:trPr>
        <w:tc>
          <w:tcPr>
            <w:tcW w:w="1097" w:type="pct"/>
            <w:tcBorders>
              <w:top w:val="nil"/>
              <w:left w:val="nil"/>
              <w:bottom w:val="nil"/>
              <w:right w:val="nil"/>
            </w:tcBorders>
            <w:shd w:val="clear" w:color="auto" w:fill="FFFFFF"/>
            <w:vAlign w:val="center"/>
          </w:tcPr>
          <w:p w14:paraId="0B219018">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表格</w:t>
            </w:r>
          </w:p>
        </w:tc>
        <w:tc>
          <w:tcPr>
            <w:tcW w:w="1799" w:type="pct"/>
            <w:tcBorders>
              <w:top w:val="nil"/>
              <w:left w:val="nil"/>
              <w:bottom w:val="nil"/>
              <w:right w:val="nil"/>
            </w:tcBorders>
            <w:shd w:val="clear" w:color="auto" w:fill="FFFFFF"/>
            <w:vAlign w:val="center"/>
          </w:tcPr>
          <w:p w14:paraId="21A19348">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highlight w:val="yellow"/>
                <w:lang w:bidi="ar"/>
              </w:rPr>
              <w:t>表格属性指定高度0.04最小值</w:t>
            </w:r>
          </w:p>
        </w:tc>
        <w:tc>
          <w:tcPr>
            <w:tcW w:w="2103" w:type="pct"/>
            <w:tcBorders>
              <w:top w:val="nil"/>
              <w:left w:val="nil"/>
              <w:bottom w:val="nil"/>
              <w:right w:val="nil"/>
            </w:tcBorders>
            <w:shd w:val="clear" w:color="auto" w:fill="FFFFFF"/>
            <w:vAlign w:val="center"/>
          </w:tcPr>
          <w:p w14:paraId="4E9BEB3A">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强化自我效能感，</w:t>
            </w:r>
          </w:p>
        </w:tc>
      </w:tr>
      <w:tr w14:paraId="0AD896C0">
        <w:trPr>
          <w:trHeight w:val="23" w:hRule="atLeast"/>
          <w:jc w:val="center"/>
        </w:trPr>
        <w:tc>
          <w:tcPr>
            <w:tcW w:w="1097" w:type="pct"/>
            <w:tcBorders>
              <w:top w:val="nil"/>
              <w:left w:val="nil"/>
              <w:bottom w:val="single" w:color="000000" w:sz="12" w:space="0"/>
              <w:right w:val="nil"/>
            </w:tcBorders>
            <w:shd w:val="clear" w:color="auto" w:fill="FFFFFF"/>
            <w:vAlign w:val="center"/>
          </w:tcPr>
          <w:p w14:paraId="4D191072">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表格</w:t>
            </w:r>
          </w:p>
        </w:tc>
        <w:tc>
          <w:tcPr>
            <w:tcW w:w="1799" w:type="pct"/>
            <w:tcBorders>
              <w:top w:val="nil"/>
              <w:left w:val="nil"/>
              <w:bottom w:val="single" w:color="000000" w:sz="12" w:space="0"/>
              <w:right w:val="nil"/>
            </w:tcBorders>
            <w:shd w:val="clear" w:color="auto" w:fill="FFFFFF"/>
            <w:vAlign w:val="center"/>
          </w:tcPr>
          <w:p w14:paraId="5598D49B">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作品展示与</w:t>
            </w:r>
          </w:p>
        </w:tc>
        <w:tc>
          <w:tcPr>
            <w:tcW w:w="2103" w:type="pct"/>
            <w:tcBorders>
              <w:top w:val="nil"/>
              <w:left w:val="nil"/>
              <w:bottom w:val="single" w:color="000000" w:sz="12" w:space="0"/>
              <w:right w:val="nil"/>
            </w:tcBorders>
            <w:shd w:val="clear" w:color="auto" w:fill="FFFFFF"/>
            <w:vAlign w:val="center"/>
          </w:tcPr>
          <w:p w14:paraId="63212D6D">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增强归属感与社会价</w:t>
            </w:r>
          </w:p>
        </w:tc>
      </w:tr>
    </w:tbl>
    <w:p w14:paraId="321C09A9">
      <w:pPr>
        <w:rPr>
          <w:rFonts w:asciiTheme="minorEastAsia" w:hAnsiTheme="minorEastAsia" w:eastAsiaTheme="minorEastAsia" w:cstheme="minorEastAsia"/>
          <w:szCs w:val="21"/>
        </w:rPr>
        <w:sectPr>
          <w:type w:val="continuous"/>
          <w:pgSz w:w="11906" w:h="16838"/>
          <w:pgMar w:top="1497" w:right="1080" w:bottom="1440" w:left="1080" w:header="1020" w:footer="1077" w:gutter="0"/>
          <w:cols w:space="425" w:num="1"/>
          <w:titlePg/>
          <w:docGrid w:type="lines" w:linePitch="312" w:charSpace="0"/>
        </w:sectPr>
      </w:pPr>
    </w:p>
    <w:p w14:paraId="78AB5DED">
      <w:pPr>
        <w:rPr>
          <w:rFonts w:asciiTheme="minorEastAsia" w:hAnsiTheme="minorEastAsia" w:eastAsiaTheme="minorEastAsia" w:cstheme="minorEastAsia"/>
          <w:szCs w:val="21"/>
        </w:rPr>
      </w:pPr>
    </w:p>
    <w:p w14:paraId="613F3C84">
      <w:pPr>
        <w:rPr>
          <w:rFonts w:asciiTheme="minorEastAsia" w:hAnsiTheme="minorEastAsia" w:eastAsiaTheme="minorEastAsia" w:cstheme="minorEastAsia"/>
          <w:szCs w:val="21"/>
        </w:rPr>
      </w:pPr>
    </w:p>
    <w:p w14:paraId="520171B0">
      <w:pPr>
        <w:rPr>
          <w:rFonts w:asciiTheme="minorEastAsia" w:hAnsiTheme="minorEastAsia" w:eastAsiaTheme="minorEastAsia" w:cstheme="minorEastAsia"/>
          <w:szCs w:val="21"/>
        </w:rPr>
      </w:pPr>
    </w:p>
    <w:p w14:paraId="1C734FB2">
      <w:pPr>
        <w:rPr>
          <w:rFonts w:asciiTheme="minorEastAsia" w:hAnsiTheme="minorEastAsia" w:eastAsiaTheme="minorEastAsia" w:cstheme="minorEastAsia"/>
          <w:szCs w:val="21"/>
        </w:rPr>
      </w:pPr>
    </w:p>
    <w:p w14:paraId="0EC52294">
      <w:pPr>
        <w:spacing w:line="280" w:lineRule="exac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参考文献：</w:t>
      </w:r>
    </w:p>
    <w:p w14:paraId="3BCC431C">
      <w:pPr>
        <w:widowControl/>
        <w:spacing w:line="280" w:lineRule="exact"/>
        <w:ind w:firstLine="420" w:firstLineChars="200"/>
        <w:rPr>
          <w:rFonts w:ascii="微软雅黑" w:hAnsi="微软雅黑" w:eastAsia="微软雅黑" w:cs="微软雅黑"/>
          <w:color w:val="0000FF"/>
          <w:kern w:val="0"/>
          <w:szCs w:val="21"/>
        </w:rPr>
      </w:pPr>
      <w:r>
        <w:rPr>
          <w:rFonts w:hint="eastAsia" w:ascii="微软雅黑" w:hAnsi="微软雅黑" w:eastAsia="微软雅黑" w:cs="微软雅黑"/>
          <w:color w:val="FF0000"/>
          <w:kern w:val="0"/>
          <w:szCs w:val="21"/>
          <w:lang w:bidi="ar"/>
        </w:rPr>
        <w:t>必须有参考文献，而且所引用文献必须是作者本人直接阅读过的、正式出版的、最主要的、最新鲜的相关文献。</w:t>
      </w:r>
      <w:r>
        <w:rPr>
          <w:rFonts w:hint="eastAsia" w:ascii="微软雅黑" w:hAnsi="微软雅黑" w:eastAsia="微软雅黑" w:cs="微软雅黑"/>
          <w:b/>
          <w:bCs/>
          <w:color w:val="FF0000"/>
          <w:kern w:val="0"/>
          <w:szCs w:val="21"/>
          <w:u w:val="double"/>
          <w:lang w:bidi="ar"/>
        </w:rPr>
        <w:t>最少不得少于5条</w:t>
      </w:r>
      <w:r>
        <w:rPr>
          <w:rFonts w:hint="eastAsia" w:ascii="微软雅黑" w:hAnsi="微软雅黑" w:eastAsia="微软雅黑" w:cs="微软雅黑"/>
          <w:color w:val="FF0000"/>
          <w:kern w:val="0"/>
          <w:szCs w:val="21"/>
          <w:lang w:bidi="ar"/>
        </w:rPr>
        <w:t>。文献按文章中出现先后顺序排列，以下列举了期刊、专著、论文集、学位论文、专利、网络文献的示例。</w:t>
      </w:r>
      <w:r>
        <w:rPr>
          <w:rFonts w:hint="eastAsia" w:asciiTheme="minorEastAsia" w:hAnsiTheme="minorEastAsia" w:eastAsiaTheme="minorEastAsia" w:cstheme="minorEastAsia"/>
          <w:b/>
          <w:bCs/>
          <w:szCs w:val="21"/>
          <w:highlight w:val="yellow"/>
        </w:rPr>
        <w:t>（字体：宋体10号，两端对齐，</w:t>
      </w:r>
      <w:r>
        <w:rPr>
          <w:rFonts w:hint="eastAsia" w:ascii="宋体" w:hAnsi="宋体" w:eastAsia="宋体" w:cs="宋体"/>
          <w:b/>
          <w:bCs/>
          <w:szCs w:val="21"/>
          <w:highlight w:val="yellow"/>
        </w:rPr>
        <w:t>行距固定值14磅）</w:t>
      </w:r>
    </w:p>
    <w:p w14:paraId="26375D9E">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[1] 王雅彬, 应芝, 郑晓园, 等. 热化学硫碘循环制氢系统研究进展[J].能源研究与信息,2021,37(3):169-175.</w:t>
      </w:r>
    </w:p>
    <w:p w14:paraId="350F4513">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[2] NAGARAJAN V, PONYAVIN V, CHEN Y, et al. Numerical study of sulfur trioxide decomposition in bayonet type heat exchange rand chemical decomposer with porous media zone and different packed bed designs [J].International Journal of Hydrogen Energy,2008,33(22):6445-6455.</w:t>
      </w:r>
    </w:p>
    <w:p w14:paraId="25D9B91A">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[3] 刘相新, 孟宪颐.ANSYS基础与应用教程[M].北京:科学出版社,2006:6-98.</w:t>
      </w:r>
    </w:p>
    <w:p w14:paraId="2C9EF410">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[4] BATCHELORG K. An introduction to fluid dynamics[M].Cambridge: Cambridge University Press,2000:25-46.</w:t>
      </w:r>
    </w:p>
    <w:p w14:paraId="6905C694">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[5] 贾东琴, 柯平.面向数字素养的高校图书馆数字服务体系研究[C]//中国图书馆学会.中国图书馆学会年会论文集:2011年卷.北京:国家图书馆出版社,2011:45-52.</w:t>
      </w:r>
    </w:p>
    <w:p w14:paraId="1DA00185">
      <w:pPr>
        <w:widowControl/>
        <w:spacing w:line="280" w:lineRule="exact"/>
        <w:rPr>
          <w:rFonts w:ascii="Times New Roman Regular" w:hAnsi="Times New Roman Regular" w:cs="Times New Roman Regular" w:eastAsiaTheme="minorEastAsia"/>
          <w:kern w:val="0"/>
          <w:sz w:val="20"/>
          <w:szCs w:val="20"/>
          <w:lang w:bidi="ar"/>
        </w:rPr>
      </w:pPr>
      <w:r>
        <w:rPr>
          <w:rFonts w:ascii="Times New Roman Regular" w:hAnsi="Times New Roman Regular" w:cs="Times New Roman Regular" w:eastAsiaTheme="minorEastAsia"/>
          <w:kern w:val="0"/>
          <w:sz w:val="20"/>
          <w:szCs w:val="20"/>
          <w:lang w:bidi="ar"/>
        </w:rPr>
        <w:t xml:space="preserve">[6] ETROWSKI A. A clearing procedure as a niching method for genetic algorithms[C]//Proceedings of the 3rd </w:t>
      </w:r>
    </w:p>
    <w:p w14:paraId="1E67186C">
      <w:pPr>
        <w:widowControl/>
        <w:spacing w:line="280" w:lineRule="exact"/>
        <w:jc w:val="left"/>
        <w:rPr>
          <w:rFonts w:ascii="Times New Roman Regular" w:hAnsi="Times New Roman Regular" w:cs="Times New Roman Regular" w:eastAsiaTheme="minorEastAsia"/>
          <w:kern w:val="0"/>
          <w:sz w:val="20"/>
          <w:szCs w:val="20"/>
          <w:lang w:bidi="ar"/>
        </w:rPr>
      </w:pPr>
    </w:p>
    <w:p w14:paraId="2154EFDF">
      <w:pPr>
        <w:rPr>
          <w:rFonts w:asciiTheme="minorEastAsia" w:hAnsiTheme="minorEastAsia" w:eastAsiaTheme="minorEastAsia" w:cstheme="minorEastAsia"/>
          <w:szCs w:val="21"/>
          <w:shd w:val="clear" w:color="auto" w:fill="FFFFFF"/>
        </w:rPr>
      </w:pPr>
    </w:p>
    <w:p w14:paraId="27ED1233"/>
    <w:p w14:paraId="4CDFEFDD">
      <w:pPr>
        <w:jc w:val="center"/>
        <w:rPr>
          <w:rFonts w:ascii="微软雅黑" w:hAnsi="微软雅黑" w:eastAsia="微软雅黑" w:cs="微软雅黑"/>
          <w:sz w:val="36"/>
          <w:szCs w:val="44"/>
        </w:rPr>
      </w:pPr>
      <w:r>
        <w:rPr>
          <w:rFonts w:hint="eastAsia" w:ascii="微软雅黑" w:hAnsi="微软雅黑" w:eastAsia="微软雅黑" w:cs="微软雅黑"/>
          <w:sz w:val="36"/>
          <w:szCs w:val="44"/>
        </w:rPr>
        <w:t>投稿须知</w:t>
      </w:r>
    </w:p>
    <w:p w14:paraId="4601DA1C">
      <w:pPr>
        <w:spacing w:line="300" w:lineRule="exact"/>
        <w:rPr>
          <w:rFonts w:ascii="微软雅黑" w:hAnsi="微软雅黑" w:eastAsia="微软雅黑" w:cs="微软雅黑"/>
          <w:szCs w:val="21"/>
        </w:rPr>
      </w:pPr>
      <w:r>
        <w:rPr>
          <w:rFonts w:hint="eastAsia" w:ascii="微软雅黑" w:hAnsi="微软雅黑" w:eastAsia="微软雅黑" w:cs="微软雅黑"/>
          <w:szCs w:val="21"/>
        </w:rPr>
        <w:t>1．论文应观点明确、新颖、资料翔实、可靠，论证严密、科学。来稿请通过本刊投稿系统投稿。</w:t>
      </w:r>
    </w:p>
    <w:p w14:paraId="5019426E">
      <w:pPr>
        <w:spacing w:line="300" w:lineRule="exact"/>
        <w:rPr>
          <w:rFonts w:ascii="微软雅黑" w:hAnsi="微软雅黑" w:eastAsia="微软雅黑" w:cs="微软雅黑"/>
          <w:szCs w:val="21"/>
        </w:rPr>
      </w:pPr>
      <w:r>
        <w:rPr>
          <w:rFonts w:hint="eastAsia" w:ascii="微软雅黑" w:hAnsi="微软雅黑" w:eastAsia="微软雅黑" w:cs="微软雅黑"/>
          <w:szCs w:val="21"/>
        </w:rPr>
        <w:t>2．来稿应包括文章题名、作者署名及工作单位、摘要、关键词、作者简介、正文、注释、参考文献、并附英文的篇名、摘要、 关键词以及作者和工作单位的英文译名。基金资助产出的论文应对有关项目加以注明。各项具体要如下：</w:t>
      </w:r>
    </w:p>
    <w:p w14:paraId="74166321">
      <w:pPr>
        <w:spacing w:line="300" w:lineRule="exact"/>
        <w:rPr>
          <w:rFonts w:ascii="微软雅黑" w:hAnsi="微软雅黑" w:eastAsia="微软雅黑" w:cs="微软雅黑"/>
          <w:szCs w:val="21"/>
        </w:rPr>
      </w:pPr>
    </w:p>
    <w:p w14:paraId="19E5DBC8">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[文章题名]应简明、具体、恰切，能概括文章的特定内容，一般不超过30字。              </w:t>
      </w:r>
    </w:p>
    <w:p w14:paraId="222D45A0">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[作者署名]真实姓名。</w:t>
      </w:r>
      <w:r>
        <w:rPr>
          <w:rFonts w:hint="eastAsia" w:ascii="微软雅黑" w:hAnsi="微软雅黑" w:eastAsia="微软雅黑" w:cs="微软雅黑"/>
          <w:szCs w:val="21"/>
        </w:rPr>
        <w:br w:type="textWrapping"/>
      </w:r>
      <w:r>
        <w:rPr>
          <w:rFonts w:hint="eastAsia" w:ascii="微软雅黑" w:hAnsi="微软雅黑" w:eastAsia="微软雅黑" w:cs="微软雅黑"/>
          <w:szCs w:val="21"/>
        </w:rPr>
        <w:t>[作者单位]应标明全称以及所在省（区）、城市名及邮政编码。</w:t>
      </w:r>
    </w:p>
    <w:p w14:paraId="3DD4C6EB">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[表格]文中统计表表序和表题置于表格上方，表格用三线表。</w:t>
      </w:r>
    </w:p>
    <w:p w14:paraId="26DFFD44">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[插图]文中插图要清晰，大小适中，图序和图题置于图的下方。</w:t>
      </w:r>
    </w:p>
    <w:p w14:paraId="7A03CFA6">
      <w:pPr>
        <w:numPr>
          <w:ilvl w:val="0"/>
          <w:numId w:val="1"/>
        </w:numPr>
        <w:spacing w:line="340" w:lineRule="exact"/>
        <w:rPr>
          <w:rFonts w:ascii="微软雅黑" w:hAnsi="微软雅黑" w:eastAsia="微软雅黑" w:cs="微软雅黑"/>
          <w:kern w:val="0"/>
          <w:szCs w:val="21"/>
        </w:rPr>
      </w:pPr>
      <w:r>
        <w:rPr>
          <w:rFonts w:hint="eastAsia" w:ascii="微软雅黑" w:hAnsi="微软雅黑" w:eastAsia="微软雅黑" w:cs="微软雅黑"/>
          <w:szCs w:val="21"/>
        </w:rPr>
        <w:t>[参考文献]</w:t>
      </w:r>
      <w:r>
        <w:rPr>
          <w:rFonts w:hint="eastAsia" w:ascii="微软雅黑" w:hAnsi="微软雅黑" w:eastAsia="微软雅黑" w:cs="微软雅黑"/>
          <w:color w:val="FF0000"/>
          <w:kern w:val="0"/>
          <w:szCs w:val="21"/>
          <w:lang w:bidi="ar"/>
        </w:rPr>
        <w:t>必须有参考文献，而且所引用文献必须是作者本人直接阅读过的、正式出版的、最主要的、最新鲜的相关文献。最少不得少于5条。文献按文章中出现先后顺序排列，以下列举了期刊、专著、论文集、学位论文、专利、网络文献的示例。</w:t>
      </w:r>
    </w:p>
    <w:p w14:paraId="7F420B1D">
      <w:pPr>
        <w:numPr>
          <w:ilvl w:val="0"/>
          <w:numId w:val="0"/>
        </w:numPr>
        <w:spacing w:line="340" w:lineRule="exact"/>
        <w:ind w:leftChars="0"/>
      </w:pPr>
      <w:r>
        <w:rPr>
          <w:rFonts w:eastAsia="宋体" w:cs="Times New Roman"/>
          <w:szCs w:val="32"/>
        </w:rPr>
        <mc:AlternateContent>
          <mc:Choice Requires="wps">
            <w:drawing>
              <wp:anchor distT="0" distB="0" distL="114300" distR="114300" simplePos="0" relativeHeight="251659264" behindDoc="1" locked="0" layoutInCell="1" allowOverlap="0">
                <wp:simplePos x="0" y="0"/>
                <wp:positionH relativeFrom="column">
                  <wp:posOffset>1859915</wp:posOffset>
                </wp:positionH>
                <wp:positionV relativeFrom="paragraph">
                  <wp:posOffset>9710420</wp:posOffset>
                </wp:positionV>
                <wp:extent cx="4619625" cy="885825"/>
                <wp:effectExtent l="429895" t="4445" r="8255" b="5080"/>
                <wp:wrapNone/>
                <wp:docPr id="16" name="圆角矩形标注 16"/>
                <wp:cNvGraphicFramePr/>
                <a:graphic xmlns:a="http://schemas.openxmlformats.org/drawingml/2006/main">
                  <a:graphicData uri="http://schemas.microsoft.com/office/word/2010/wordprocessingShape">
                    <wps:wsp>
                      <wps:cNvSpPr/>
                      <wps:spPr>
                        <a:xfrm>
                          <a:off x="0" y="0"/>
                          <a:ext cx="4619625" cy="885825"/>
                        </a:xfrm>
                        <a:prstGeom prst="wedgeRoundRectCallout">
                          <a:avLst>
                            <a:gd name="adj1" fmla="val -58907"/>
                            <a:gd name="adj2" fmla="val -31292"/>
                            <a:gd name="adj3" fmla="val 16667"/>
                          </a:avLst>
                        </a:prstGeom>
                        <a:solidFill>
                          <a:srgbClr val="FFFFFF"/>
                        </a:solidFill>
                        <a:ln w="9525" cap="flat" cmpd="sng">
                          <a:solidFill>
                            <a:srgbClr val="0000FF"/>
                          </a:solidFill>
                          <a:prstDash val="solid"/>
                          <a:miter/>
                          <a:headEnd type="none" w="med" len="med"/>
                          <a:tailEnd type="none" w="med" len="med"/>
                        </a:ln>
                      </wps:spPr>
                      <wps:txbx>
                        <w:txbxContent>
                          <w:p w14:paraId="1CB230D5">
                            <w:pPr>
                              <w:spacing w:after="240"/>
                              <w:rPr>
                                <w:rFonts w:eastAsia="楷体_GB2312" w:cs="Times New Roman"/>
                                <w:sz w:val="18"/>
                                <w:szCs w:val="20"/>
                              </w:rPr>
                            </w:pPr>
                            <w:r>
                              <w:rPr>
                                <w:rFonts w:hint="eastAsia" w:eastAsia="宋体" w:cs="Times New Roman"/>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eastAsia="宋体" w:cs="Times New Roman"/>
                                <w:color w:val="000080"/>
                                <w:szCs w:val="21"/>
                                <w:u w:val="double"/>
                              </w:rPr>
                              <w:t>阅后删除此文本框。</w:t>
                            </w:r>
                          </w:p>
                        </w:txbxContent>
                      </wps:txbx>
                      <wps:bodyPr upright="1"/>
                    </wps:wsp>
                  </a:graphicData>
                </a:graphic>
              </wp:anchor>
            </w:drawing>
          </mc:Choice>
          <mc:Fallback>
            <w:pict>
              <v:shape id="_x0000_s1026" o:spid="_x0000_s1026" o:spt="62" type="#_x0000_t62" style="position:absolute;left:0pt;margin-left:146.45pt;margin-top:764.6pt;height:69.75pt;width:363.75pt;z-index:-251657216;mso-width-relative:page;mso-height-relative:page;" fillcolor="#FFFFFF" filled="t" stroked="t" coordsize="21600,21600" o:allowoverlap="f" o:gfxdata="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5GAGc3AAA&#10;AA4BAAAPAAAAAAAAAAEAIAAAACIAAABkcnMvZG93bnJldi54bWxQSwECFAAUAAAACACHTuJAGb7q&#10;0lMCAAC/BAAADgAAAAAAAAABACAAAAArAQAAZHJzL2Uyb0RvYy54bWxQSwUGAAAAAAYABgBZAQAA&#10;8AUAAAAA&#10;" adj="-1924,4041,14400">
                <v:fill on="t" focussize="0,0"/>
                <v:stroke color="#0000FF" joinstyle="miter"/>
                <v:imagedata o:title=""/>
                <o:lock v:ext="edit" aspectratio="f"/>
                <v:textbox>
                  <w:txbxContent>
                    <w:p w14:paraId="1CB230D5">
                      <w:pPr>
                        <w:spacing w:after="240"/>
                        <w:rPr>
                          <w:rFonts w:eastAsia="楷体_GB2312" w:cs="Times New Roman"/>
                          <w:sz w:val="18"/>
                          <w:szCs w:val="20"/>
                        </w:rPr>
                      </w:pPr>
                      <w:r>
                        <w:rPr>
                          <w:rFonts w:hint="eastAsia" w:eastAsia="宋体" w:cs="Times New Roman"/>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eastAsia="宋体" w:cs="Times New Roman"/>
                          <w:color w:val="000080"/>
                          <w:szCs w:val="21"/>
                          <w:u w:val="double"/>
                        </w:rPr>
                        <w:t>阅后删除此文本框。</w:t>
                      </w:r>
                    </w:p>
                  </w:txbxContent>
                </v:textbox>
              </v:shape>
            </w:pict>
          </mc:Fallback>
        </mc:AlternateContent>
      </w:r>
      <w:r>
        <w:rPr>
          <w:szCs w:val="32"/>
        </w:rPr>
        <mc:AlternateContent>
          <mc:Choice Requires="wps">
            <w:drawing>
              <wp:anchor distT="0" distB="0" distL="114300" distR="114300" simplePos="0" relativeHeight="251662336" behindDoc="1" locked="0" layoutInCell="1" allowOverlap="0">
                <wp:simplePos x="0" y="0"/>
                <wp:positionH relativeFrom="column">
                  <wp:posOffset>2012315</wp:posOffset>
                </wp:positionH>
                <wp:positionV relativeFrom="paragraph">
                  <wp:posOffset>9862820</wp:posOffset>
                </wp:positionV>
                <wp:extent cx="4619625" cy="885825"/>
                <wp:effectExtent l="429895" t="4445" r="8255" b="5080"/>
                <wp:wrapNone/>
                <wp:docPr id="19" name="圆角矩形标注 19"/>
                <wp:cNvGraphicFramePr/>
                <a:graphic xmlns:a="http://schemas.openxmlformats.org/drawingml/2006/main">
                  <a:graphicData uri="http://schemas.microsoft.com/office/word/2010/wordprocessingShape">
                    <wps:wsp>
                      <wps:cNvSpPr/>
                      <wps:spPr>
                        <a:xfrm>
                          <a:off x="0" y="0"/>
                          <a:ext cx="4619625" cy="885825"/>
                        </a:xfrm>
                        <a:prstGeom prst="wedgeRoundRectCallout">
                          <a:avLst>
                            <a:gd name="adj1" fmla="val -58907"/>
                            <a:gd name="adj2" fmla="val -31292"/>
                            <a:gd name="adj3" fmla="val 16667"/>
                          </a:avLst>
                        </a:prstGeom>
                        <a:solidFill>
                          <a:srgbClr val="FFFFFF"/>
                        </a:solidFill>
                        <a:ln w="9525" cap="flat" cmpd="sng">
                          <a:solidFill>
                            <a:srgbClr val="0000FF"/>
                          </a:solidFill>
                          <a:prstDash val="solid"/>
                          <a:miter/>
                          <a:headEnd type="none" w="med" len="med"/>
                          <a:tailEnd type="none" w="med" len="med"/>
                        </a:ln>
                      </wps:spPr>
                      <wps:txbx>
                        <w:txbxContent>
                          <w:p w14:paraId="0014AEE3">
                            <w:pPr>
                              <w:spacing w:after="240"/>
                              <w:rPr>
                                <w:rFonts w:eastAsia="楷体_GB2312"/>
                                <w:sz w:val="18"/>
                              </w:rPr>
                            </w:pPr>
                            <w:r>
                              <w:rPr>
                                <w:rFonts w:hint="eastAsia"/>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color w:val="000080"/>
                                <w:szCs w:val="21"/>
                                <w:u w:val="double"/>
                              </w:rPr>
                              <w:t>阅后删除此文本框。</w:t>
                            </w:r>
                          </w:p>
                        </w:txbxContent>
                      </wps:txbx>
                      <wps:bodyPr upright="1"/>
                    </wps:wsp>
                  </a:graphicData>
                </a:graphic>
              </wp:anchor>
            </w:drawing>
          </mc:Choice>
          <mc:Fallback>
            <w:pict>
              <v:shape id="_x0000_s1026" o:spid="_x0000_s1026" o:spt="62" type="#_x0000_t62" style="position:absolute;left:0pt;margin-left:158.45pt;margin-top:776.6pt;height:69.75pt;width:363.75pt;z-index:-251654144;mso-width-relative:page;mso-height-relative:page;" fillcolor="#FFFFFF" filled="t" stroked="t" coordsize="21600,21600" o:allowoverlap="f" o:gfxdata="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LIF1qd0A&#10;AAAOAQAADwAAAAAAAAABACAAAAAiAAAAZHJzL2Rvd25yZXYueG1sUEsBAhQAFAAAAAgAh07iQNOk&#10;8bFTAgAAvwQAAA4AAAAAAAAAAQAgAAAALAEAAGRycy9lMm9Eb2MueG1sUEsFBgAAAAAGAAYAWQEA&#10;APEFAAAAAA==&#10;" adj="-1924,4041,14400">
                <v:fill on="t" focussize="0,0"/>
                <v:stroke color="#0000FF" joinstyle="miter"/>
                <v:imagedata o:title=""/>
                <o:lock v:ext="edit" aspectratio="f"/>
                <v:textbox>
                  <w:txbxContent>
                    <w:p w14:paraId="0014AEE3">
                      <w:pPr>
                        <w:spacing w:after="240"/>
                        <w:rPr>
                          <w:rFonts w:eastAsia="楷体_GB2312"/>
                          <w:sz w:val="18"/>
                        </w:rPr>
                      </w:pPr>
                      <w:r>
                        <w:rPr>
                          <w:rFonts w:hint="eastAsia"/>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color w:val="000080"/>
                          <w:szCs w:val="21"/>
                          <w:u w:val="double"/>
                        </w:rPr>
                        <w:t>阅后删除此文本框。</w:t>
                      </w:r>
                    </w:p>
                  </w:txbxContent>
                </v:textbox>
              </v:shape>
            </w:pict>
          </mc:Fallback>
        </mc:AlternateContent>
      </w:r>
    </w:p>
    <w:sectPr>
      <w:type w:val="continuous"/>
      <w:pgSz w:w="11906" w:h="16838"/>
      <w:pgMar w:top="1497" w:right="1080" w:bottom="1440" w:left="1080" w:header="1020" w:footer="1077"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Nanum Myeongjo"/>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t">
    <w:altName w:val="宋体-简"/>
    <w:panose1 w:val="020B0604020202020204"/>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微软雅黑">
    <w:altName w:val="汉仪旗黑"/>
    <w:panose1 w:val="020B0703020204020201"/>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Times New Roman Regular">
    <w:panose1 w:val="02020503050405090304"/>
    <w:charset w:val="00"/>
    <w:family w:val="auto"/>
    <w:pitch w:val="default"/>
    <w:sig w:usb0="E0000AFF" w:usb1="00007843" w:usb2="00000001" w:usb3="00000000" w:csb0="400001BF" w:csb1="DFF7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Times New Roman Bold">
    <w:panose1 w:val="02020503050405090304"/>
    <w:charset w:val="00"/>
    <w:family w:val="auto"/>
    <w:pitch w:val="default"/>
    <w:sig w:usb0="E0000AFF" w:usb1="00007843" w:usb2="00000001" w:usb3="00000000" w:csb0="400001BF" w:csb1="DFF70000"/>
  </w:font>
  <w:font w:name="Arial Bold">
    <w:panose1 w:val="020B0604020202090204"/>
    <w:charset w:val="00"/>
    <w:family w:val="auto"/>
    <w:pitch w:val="default"/>
    <w:sig w:usb0="E0000AFF" w:usb1="00007843" w:usb2="00000001" w:usb3="00000000" w:csb0="400001BF" w:csb1="DFF70000"/>
  </w:font>
  <w:font w:name="楷体_GB2312">
    <w:panose1 w:val="02010609030101010101"/>
    <w:charset w:val="86"/>
    <w:family w:val="modern"/>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Nanum Myeongjo">
    <w:panose1 w:val="00000000000000000000"/>
    <w:charset w:val="81"/>
    <w:family w:val="auto"/>
    <w:pitch w:val="default"/>
    <w:sig w:usb0="80000003" w:usb1="0151F8EB" w:usb2="00000010" w:usb3="00000000" w:csb0="00080001" w:csb1="00000000"/>
  </w:font>
  <w:font w:name="楷体">
    <w:altName w:val="汉仪楷体KW"/>
    <w:panose1 w:val="00000000000000000000"/>
    <w:charset w:val="00"/>
    <w:family w:val="auto"/>
    <w:pitch w:val="default"/>
    <w:sig w:usb0="00000000" w:usb1="00000000" w:usb2="00000000" w:usb3="00000000" w:csb0="00000000" w:csb1="00000000"/>
  </w:font>
  <w:font w:name="微软雅黑">
    <w:altName w:val="汉仪旗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659A">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31A5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C631A5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4D376">
    <w:pPr>
      <w:pStyle w:val="5"/>
      <w:rPr>
        <w:rFonts w:ascii="微软雅黑" w:hAnsi="微软雅黑" w:eastAsia="微软雅黑" w:cs="微软雅黑"/>
      </w:rPr>
    </w:pPr>
    <w:r>
      <w:rPr>
        <w:rFonts w:hint="eastAsia" w:ascii="微软雅黑" w:hAnsi="微软雅黑" w:eastAsia="微软雅黑" w:cs="微软雅黑"/>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DC22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4CDC22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9EB4A"/>
    <w:multiLevelType w:val="singleLevel"/>
    <w:tmpl w:val="F6F9EB4A"/>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iMjg5OWVkYzUzMzdlYzg1NjY3NGI4NDk2MGI4N2QifQ=="/>
  </w:docVars>
  <w:rsids>
    <w:rsidRoot w:val="775F722A"/>
    <w:rsid w:val="00447F82"/>
    <w:rsid w:val="005F2899"/>
    <w:rsid w:val="006959B6"/>
    <w:rsid w:val="009A441D"/>
    <w:rsid w:val="00AB1ACD"/>
    <w:rsid w:val="00DB7FBD"/>
    <w:rsid w:val="01CD2B81"/>
    <w:rsid w:val="0D8943FD"/>
    <w:rsid w:val="182D52EA"/>
    <w:rsid w:val="1A312930"/>
    <w:rsid w:val="215544BD"/>
    <w:rsid w:val="2C3F1489"/>
    <w:rsid w:val="2D945E18"/>
    <w:rsid w:val="32FF3E8B"/>
    <w:rsid w:val="336C62DB"/>
    <w:rsid w:val="35A653E8"/>
    <w:rsid w:val="35FF375A"/>
    <w:rsid w:val="377C6801"/>
    <w:rsid w:val="3A6467EB"/>
    <w:rsid w:val="3B37445F"/>
    <w:rsid w:val="3C3B4EAB"/>
    <w:rsid w:val="3CFF0268"/>
    <w:rsid w:val="3EFF322C"/>
    <w:rsid w:val="3FEEE908"/>
    <w:rsid w:val="3FEF0318"/>
    <w:rsid w:val="3FFAAF90"/>
    <w:rsid w:val="40551718"/>
    <w:rsid w:val="406243CC"/>
    <w:rsid w:val="40CA1BEA"/>
    <w:rsid w:val="418D5DEE"/>
    <w:rsid w:val="43184197"/>
    <w:rsid w:val="43396E18"/>
    <w:rsid w:val="43FC00EC"/>
    <w:rsid w:val="4F317A91"/>
    <w:rsid w:val="53CF1048"/>
    <w:rsid w:val="5BEF6D2B"/>
    <w:rsid w:val="5EEFE8A3"/>
    <w:rsid w:val="5EF76B19"/>
    <w:rsid w:val="5F09239F"/>
    <w:rsid w:val="5F7F0B1E"/>
    <w:rsid w:val="6018205E"/>
    <w:rsid w:val="60223146"/>
    <w:rsid w:val="61661484"/>
    <w:rsid w:val="64CC3C50"/>
    <w:rsid w:val="69E86736"/>
    <w:rsid w:val="6BA7B856"/>
    <w:rsid w:val="6FFA4BF7"/>
    <w:rsid w:val="701C6B8F"/>
    <w:rsid w:val="72665C4E"/>
    <w:rsid w:val="7569E1E8"/>
    <w:rsid w:val="75A33BF3"/>
    <w:rsid w:val="76CD589C"/>
    <w:rsid w:val="775F722A"/>
    <w:rsid w:val="77DBC2DC"/>
    <w:rsid w:val="7A116E46"/>
    <w:rsid w:val="7A430B9A"/>
    <w:rsid w:val="7A74C3DB"/>
    <w:rsid w:val="7DBD4C73"/>
    <w:rsid w:val="7DE20C95"/>
    <w:rsid w:val="7ED45422"/>
    <w:rsid w:val="7EF74CC2"/>
    <w:rsid w:val="7F7A59F2"/>
    <w:rsid w:val="7FBE7026"/>
    <w:rsid w:val="7FF2440E"/>
    <w:rsid w:val="9FFD0D00"/>
    <w:rsid w:val="AFDAD15B"/>
    <w:rsid w:val="AFFFAB61"/>
    <w:rsid w:val="B3FED128"/>
    <w:rsid w:val="D7FBC08E"/>
    <w:rsid w:val="DDBA5997"/>
    <w:rsid w:val="EDFEB646"/>
    <w:rsid w:val="EFED7025"/>
    <w:rsid w:val="F4EF8B41"/>
    <w:rsid w:val="F9FDB121"/>
    <w:rsid w:val="FA71C3D3"/>
    <w:rsid w:val="FBFF3634"/>
    <w:rsid w:val="FE3F7F90"/>
    <w:rsid w:val="FEDF2F05"/>
    <w:rsid w:val="FF7FF9C3"/>
    <w:rsid w:val="FFAE0F52"/>
    <w:rsid w:val="FFF44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简"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qFormat/>
    <w:uiPriority w:val="0"/>
    <w:pPr>
      <w:snapToGrid w:val="0"/>
      <w:jc w:val="left"/>
    </w:pPr>
    <w:rPr>
      <w:sz w:val="18"/>
    </w:rPr>
  </w:style>
  <w:style w:type="character" w:styleId="10">
    <w:name w:val="Hyperlink"/>
    <w:basedOn w:val="9"/>
    <w:qFormat/>
    <w:uiPriority w:val="0"/>
    <w:rPr>
      <w:color w:val="0000FF"/>
      <w:u w:val="single"/>
    </w:rPr>
  </w:style>
  <w:style w:type="character" w:styleId="11">
    <w:name w:val="footnote reference"/>
    <w:basedOn w:val="9"/>
    <w:qFormat/>
    <w:uiPriority w:val="0"/>
    <w:rPr>
      <w:vertAlign w:val="superscript"/>
    </w:rPr>
  </w:style>
  <w:style w:type="character" w:customStyle="1" w:styleId="12">
    <w:name w:val="标题强调 Char"/>
    <w:basedOn w:val="9"/>
    <w:link w:val="13"/>
    <w:qFormat/>
    <w:uiPriority w:val="0"/>
    <w:rPr>
      <w:rFonts w:eastAsia="黑体"/>
      <w:b/>
      <w:kern w:val="0"/>
      <w:szCs w:val="21"/>
    </w:rPr>
  </w:style>
  <w:style w:type="paragraph" w:customStyle="1" w:styleId="13">
    <w:name w:val="标题强调"/>
    <w:basedOn w:val="1"/>
    <w:link w:val="12"/>
    <w:qFormat/>
    <w:uiPriority w:val="0"/>
    <w:pPr>
      <w:widowControl/>
    </w:pPr>
    <w:rPr>
      <w:rFonts w:eastAsia="黑体"/>
      <w:b/>
      <w:kern w:val="0"/>
      <w:szCs w:val="21"/>
    </w:rPr>
  </w:style>
  <w:style w:type="paragraph" w:customStyle="1" w:styleId="14">
    <w:name w:val="摘要"/>
    <w:basedOn w:val="1"/>
    <w:qFormat/>
    <w:uiPriority w:val="0"/>
    <w:pPr>
      <w:ind w:firstLine="803" w:firstLineChars="400"/>
    </w:pPr>
    <w:rPr>
      <w:rFonts w:ascii="宋体" w:hAnsi="宋体"/>
      <w:color w:val="000000"/>
      <w:sz w:val="20"/>
    </w:rPr>
  </w:style>
  <w:style w:type="paragraph" w:customStyle="1" w:styleId="15">
    <w:name w:val="中文页眉"/>
    <w:basedOn w:val="1"/>
    <w:qFormat/>
    <w:uiPriority w:val="0"/>
    <w:pPr>
      <w:spacing w:after="200" w:line="240" w:lineRule="atLeast"/>
      <w:jc w:val="right"/>
    </w:pPr>
    <w:rPr>
      <w:rFonts w:ascii="宋体" w:hAnsi="宋体"/>
      <w: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1580</Words>
  <Characters>2302</Characters>
  <Lines>18</Lines>
  <Paragraphs>5</Paragraphs>
  <TotalTime>1</TotalTime>
  <ScaleCrop>false</ScaleCrop>
  <LinksUpToDate>false</LinksUpToDate>
  <CharactersWithSpaces>2430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2025-02-13T16:54:00Z</dcterms:created>
  <dc:creator>陳未來</dc:creator>
  <cp:lastModifiedBy>CHEN KECUN</cp:lastModifiedBy>
  <cp:lastPrinted>2025-04-30T22:20:00Z</cp:lastPrinted>
  <dcterms:modified xsi:type="dcterms:W3CDTF">2026-09-30T21:18:56Z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694C42839E388907162A326AE8C32320_43</vt:lpwstr>
  </property>
  <property fmtid="{D5CDD505-2E9C-101B-9397-08002B2CF9AE}" pid="4" name="KSOTemplateDocerSaveRecord">
    <vt:lpwstr>eyJoZGlkIjoiNjUyYjM1MDgyZTIwOTQxN2Q1MGY4ZTg4OGFjZWRjZmUiLCJ1c2VySWQiOiIzOTEwMDM4NzAifQ==</vt:lpwstr>
  </property>
</Properties>
</file>