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FD989"/>
    <w:p w14:paraId="287F0E0A">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 xml:space="preserve">(标题字体：微软雅黑, </w:t>
      </w:r>
      <w:r>
        <w:rPr>
          <w:rFonts w:hint="eastAsia" w:ascii="微软雅黑" w:hAnsi="微软雅黑" w:eastAsia="微软雅黑" w:cs="微软雅黑"/>
          <w:sz w:val="36"/>
          <w:szCs w:val="36"/>
          <w:highlight w:val="yellow"/>
          <w:lang w:val="en-US" w:eastAsia="zh-CN"/>
        </w:rPr>
        <w:t>18号</w:t>
      </w:r>
      <w:r>
        <w:rPr>
          <w:rFonts w:hint="eastAsia" w:ascii="微软雅黑" w:hAnsi="微软雅黑" w:eastAsia="微软雅黑" w:cs="微软雅黑"/>
          <w:sz w:val="36"/>
          <w:szCs w:val="36"/>
          <w:highlight w:val="yellow"/>
        </w:rPr>
        <w:t>粗。段落：段前17磅，段后17磅，单倍行距）</w:t>
      </w:r>
    </w:p>
    <w:p w14:paraId="2D4A68A8">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1A9DB266">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（1.长春xx大学，吉林 长春130013，2.河北xx大学，河北 石家庄000000）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2ED1C3D4">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ascii="Times New Roman Regular" w:hAnsi="Times New Roman Regular" w:eastAsia="楷体" w:cs="Times New Roman Regular"/>
          <w:szCs w:val="18"/>
        </w:rPr>
        <w:t>国际学研究采用SATI文献题录信息统计分析工具统计分析我国核心期刊双师型队伍研究情况。数据来源于CNKI数据库，发表日期为1994年--2024年。</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40526E83">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ascii="Times New Roman Regular" w:hAnsi="Times New Roman Regular" w:eastAsia="楷体" w:cs="Times New Roman Regular"/>
          <w:szCs w:val="18"/>
        </w:rPr>
        <w:t>国际学生；安全管理；文化适应；国家安全</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356670E8">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自然科学基金(编号)；中国博士后科学基金(编号)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6063B8A">
      <w:pPr>
        <w:pStyle w:val="14"/>
        <w:spacing w:after="120" w:line="280" w:lineRule="exact"/>
        <w:ind w:firstLine="0" w:firstLineChars="0"/>
        <w:rPr>
          <w:rFonts w:hint="eastAsia" w:ascii="Times New Roman Regular" w:hAnsi="Times New Roman Regular" w:eastAsia="楷体" w:cs="Times New Roman Regular"/>
          <w:color w:val="auto"/>
          <w:szCs w:val="18"/>
          <w:lang w:val="en-US" w:eastAsia="zh-CN"/>
        </w:rPr>
      </w:pPr>
      <w:r>
        <w:rPr>
          <w:rFonts w:ascii="Times New Roman Regular" w:hAnsi="Times New Roman Regular" w:eastAsia="微软雅黑" w:cs="Times New Roman Regular"/>
          <w:szCs w:val="18"/>
        </w:rPr>
        <w:t>DOI</w:t>
      </w:r>
      <w:r>
        <w:rPr>
          <w:rFonts w:ascii="Times New Roman Regular" w:hAnsi="Times New Roman Regular" w:eastAsia="楷体" w:cs="Times New Roman Regular"/>
          <w:szCs w:val="18"/>
        </w:rPr>
        <w:t>：</w:t>
      </w:r>
      <w:r>
        <w:rPr>
          <w:rFonts w:ascii="Times New Roman Regular" w:hAnsi="Times New Roman Regular" w:eastAsia="楷体" w:cs="Times New Roman Regular"/>
          <w:color w:val="auto"/>
          <w:szCs w:val="18"/>
        </w:rPr>
        <w:t>doi.org/</w:t>
      </w:r>
      <w:r>
        <w:rPr>
          <w:rFonts w:hint="eastAsia" w:ascii="Times New Roman Regular" w:hAnsi="Times New Roman Regular" w:eastAsia="楷体" w:cs="Times New Roman Regular"/>
          <w:color w:val="auto"/>
          <w:szCs w:val="18"/>
          <w:lang w:val="en-US" w:eastAsia="zh-CN"/>
        </w:rPr>
        <w:t>10.70693/jyxb.v1i2.***</w:t>
      </w:r>
    </w:p>
    <w:p w14:paraId="062E2114">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张某某</w:t>
      </w:r>
      <w:r>
        <w:rPr>
          <w:rFonts w:hint="eastAsia" w:ascii="微软雅黑" w:hAnsi="微软雅黑" w:eastAsia="微软雅黑" w:cs="微软雅黑"/>
          <w:kern w:val="0"/>
          <w:sz w:val="15"/>
          <w:szCs w:val="15"/>
        </w:rPr>
        <w:t>(1979—)，男，博士，研究方向为直线电机分析与控制；</w:t>
      </w:r>
    </w:p>
    <w:p w14:paraId="64DA0588">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(1972—)，女，博士，副教授，研究方向为直线电机及其控制、电机优化设计；</w:t>
      </w:r>
    </w:p>
    <w:p w14:paraId="1764A127">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王某某(1951—)，男，教授，博士生导师，研究方向为直线电机及其控制、电机优化设计。</w:t>
      </w:r>
    </w:p>
    <w:p w14:paraId="21EBDEF1">
      <w:pPr>
        <w:pStyle w:val="14"/>
        <w:spacing w:after="120" w:line="280" w:lineRule="exact"/>
        <w:ind w:firstLine="0" w:firstLineChars="0"/>
        <w:rPr>
          <w:rFonts w:hint="eastAsia" w:ascii="Times New Roman Regular" w:hAnsi="Times New Roman Regular" w:eastAsia="楷体" w:cs="Times New Roman Regular"/>
          <w:color w:val="auto"/>
          <w:szCs w:val="18"/>
          <w:lang w:val="en-US" w:eastAsia="zh-CN"/>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：张某某</w:t>
      </w:r>
    </w:p>
    <w:p w14:paraId="208E7765">
      <w:pPr>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8"/>
          <w:szCs w:val="28"/>
        </w:rPr>
        <w:t>(Times New Roman, 14, Bold)</w:t>
      </w:r>
    </w:p>
    <w:p w14:paraId="08475458">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43C41B10">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13559F88">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52B7F51C">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78629DD1">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4209FAF2">
      <w:pPr>
        <w:pStyle w:val="14"/>
        <w:spacing w:after="120" w:line="280" w:lineRule="exact"/>
        <w:ind w:firstLine="0" w:firstLineChars="0"/>
        <w:rPr>
          <w:rFonts w:hint="default" w:ascii="Times New Roman Regular" w:hAnsi="Times New Roman Regular" w:eastAsia="楷体" w:cs="Times New Roman Regular"/>
          <w:color w:val="auto"/>
          <w:szCs w:val="18"/>
          <w:lang w:val="en-US" w:eastAsia="zh-CN"/>
        </w:rPr>
      </w:pPr>
    </w:p>
    <w:p w14:paraId="2826ED02">
      <w:pPr>
        <w:spacing w:line="288" w:lineRule="auto"/>
        <w:rPr>
          <w:rFonts w:asciiTheme="minorEastAsia" w:hAnsiTheme="minorEastAsia" w:eastAsiaTheme="minorEastAsia" w:cstheme="minorEastAsia"/>
          <w:szCs w:val="21"/>
        </w:rPr>
      </w:pPr>
      <w:r>
        <w:rPr>
          <w:rFonts w:hint="eastAsia" w:ascii="微软雅黑" w:hAnsi="微软雅黑" w:eastAsia="微软雅黑" w:cs="微软雅黑"/>
          <w:b/>
          <w:bCs/>
          <w:sz w:val="32"/>
          <w:szCs w:val="32"/>
          <w:highlight w:val="yellow"/>
          <w:u w:val="double"/>
          <w:lang w:val="en-US" w:eastAsia="zh-CN"/>
        </w:rPr>
        <w:t>版面费78</w:t>
      </w:r>
      <w:bookmarkStart w:id="0" w:name="_GoBack"/>
      <w:bookmarkEnd w:id="0"/>
      <w:r>
        <w:rPr>
          <w:rFonts w:hint="eastAsia" w:ascii="微软雅黑" w:hAnsi="微软雅黑" w:eastAsia="微软雅黑" w:cs="微软雅黑"/>
          <w:b/>
          <w:bCs/>
          <w:sz w:val="32"/>
          <w:szCs w:val="32"/>
          <w:highlight w:val="yellow"/>
          <w:u w:val="double"/>
          <w:lang w:val="en-US" w:eastAsia="zh-CN"/>
        </w:rPr>
        <w:t>0元，</w:t>
      </w:r>
      <w:r>
        <w:rPr>
          <w:rFonts w:hint="eastAsia" w:ascii="微软雅黑" w:hAnsi="微软雅黑" w:eastAsia="微软雅黑" w:cs="微软雅黑"/>
          <w:b/>
          <w:bCs/>
          <w:sz w:val="32"/>
          <w:szCs w:val="32"/>
          <w:highlight w:val="yellow"/>
          <w:u w:val="double"/>
        </w:rPr>
        <w:t>篇幅不超过7页，超过的每页加收</w:t>
      </w:r>
      <w:r>
        <w:rPr>
          <w:rFonts w:hint="eastAsia" w:ascii="微软雅黑" w:hAnsi="微软雅黑" w:eastAsia="微软雅黑" w:cs="微软雅黑"/>
          <w:b/>
          <w:bCs/>
          <w:sz w:val="32"/>
          <w:szCs w:val="32"/>
          <w:highlight w:val="yellow"/>
          <w:u w:val="double"/>
          <w:lang w:val="en-US" w:eastAsia="zh-CN"/>
        </w:rPr>
        <w:t>1</w:t>
      </w:r>
      <w:r>
        <w:rPr>
          <w:rFonts w:hint="eastAsia" w:ascii="微软雅黑" w:hAnsi="微软雅黑" w:eastAsia="微软雅黑" w:cs="微软雅黑"/>
          <w:b/>
          <w:bCs/>
          <w:sz w:val="32"/>
          <w:szCs w:val="32"/>
          <w:highlight w:val="yellow"/>
          <w:u w:val="double"/>
        </w:rPr>
        <w:t>00元人民币。</w:t>
      </w:r>
    </w:p>
    <w:p w14:paraId="785F3153">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篇幅不超过7页</w:t>
      </w:r>
      <w:r>
        <w:rPr>
          <w:rFonts w:hint="eastAsia" w:ascii="微软雅黑" w:hAnsi="微软雅黑" w:eastAsia="微软雅黑" w:cs="微软雅黑"/>
          <w:b/>
          <w:bCs/>
          <w:szCs w:val="21"/>
          <w:highlight w:val="yellow"/>
        </w:rPr>
        <w:t>（字体：宋体10号，两端对齐，首行缩进2字符，行距固定值14磅）</w:t>
      </w:r>
    </w:p>
    <w:p w14:paraId="1477EB80">
      <w:pPr>
        <w:rPr>
          <w:rFonts w:asciiTheme="minorEastAsia" w:hAnsiTheme="minorEastAsia" w:eastAsiaTheme="minorEastAsia" w:cstheme="minorEastAsia"/>
          <w:szCs w:val="21"/>
        </w:rPr>
      </w:pPr>
    </w:p>
    <w:p w14:paraId="57923A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p>
    <w:p w14:paraId="1FED92D7">
      <w:pPr>
        <w:spacing w:line="280" w:lineRule="exact"/>
        <w:ind w:firstLine="400" w:firstLineChars="200"/>
        <w:rPr>
          <w:rFonts w:asciiTheme="majorEastAsia" w:hAnsiTheme="majorEastAsia" w:eastAsiaTheme="majorEastAsia" w:cstheme="majorEastAsia"/>
          <w:sz w:val="20"/>
          <w:szCs w:val="20"/>
        </w:rPr>
        <w:sectPr>
          <w:footerReference r:id="rId4" w:type="first"/>
          <w:footerReference r:id="rId3" w:type="default"/>
          <w:pgSz w:w="11906" w:h="16838"/>
          <w:pgMar w:top="1497" w:right="1080" w:bottom="1440" w:left="1080" w:header="1247" w:footer="1020" w:gutter="0"/>
          <w:cols w:space="0" w:num="1"/>
          <w:titlePg/>
          <w:docGrid w:type="lines" w:linePitch="312" w:charSpace="0"/>
        </w:sectPr>
      </w:pPr>
    </w:p>
    <w:p w14:paraId="78270BE8">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世界各国都在推进国际学生教育工作，而针对国际学生安全的管理问题也是每个相关高校都较为重视的课题之一。正文部分篇幅不超过7页</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ascii="Times New Roman Regular" w:hAnsi="Times New Roman Regular" w:cs="Times New Roman Regular" w:eastAsiaTheme="majorEastAsia"/>
          <w:sz w:val="20"/>
          <w:szCs w:val="20"/>
        </w:rPr>
        <w:t>我国职业教育“双师型”师资的提法是20世纪80年代末提出的。在当代教育体系中，视觉艺术教育作为一种促进青少年心理发展的重要方式，正逐渐获得越来越多的关注。不同于传统的知识传授型学科，视觉艺术训练通过绘画、雕塑、摄影等多种媒介，为青少年提供了一个自由探索与个性表达的平台，使其能够在创作过程中不断建构自我认知，激发创造潜能，同时增强情感体验与社会归属感。</w:t>
      </w:r>
    </w:p>
    <w:p w14:paraId="0D00C044">
      <w:pPr>
        <w:spacing w:line="280" w:lineRule="exact"/>
        <w:ind w:firstLine="400" w:firstLineChars="20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表1 视觉艺术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3D1C5DCF">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70DCA347">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机制类别</w:t>
            </w:r>
          </w:p>
        </w:tc>
        <w:tc>
          <w:tcPr>
            <w:tcW w:w="1799" w:type="pct"/>
            <w:tcBorders>
              <w:top w:val="single" w:color="000000" w:sz="12" w:space="0"/>
              <w:left w:val="nil"/>
              <w:bottom w:val="single" w:color="000000" w:sz="4" w:space="0"/>
              <w:right w:val="nil"/>
            </w:tcBorders>
            <w:shd w:val="clear" w:color="auto" w:fill="FFFFFF"/>
            <w:vAlign w:val="center"/>
          </w:tcPr>
          <w:p w14:paraId="5B70CBE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114C7475">
            <w:pPr>
              <w:widowControl/>
              <w:spacing w:line="280" w:lineRule="exact"/>
              <w:ind w:firstLine="400"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促进路径</w:t>
            </w:r>
          </w:p>
        </w:tc>
      </w:tr>
      <w:tr w14:paraId="33C441EA">
        <w:trPr>
          <w:trHeight w:val="23" w:hRule="atLeast"/>
          <w:jc w:val="center"/>
        </w:trPr>
        <w:tc>
          <w:tcPr>
            <w:tcW w:w="1097" w:type="pct"/>
            <w:tcBorders>
              <w:top w:val="single" w:color="000000" w:sz="4" w:space="0"/>
              <w:left w:val="nil"/>
              <w:bottom w:val="nil"/>
              <w:right w:val="nil"/>
            </w:tcBorders>
            <w:shd w:val="clear" w:color="auto" w:fill="FFFFFF"/>
            <w:vAlign w:val="center"/>
          </w:tcPr>
          <w:p w14:paraId="0447959C">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4943391E">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32F31DA0">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4E9BE124">
        <w:trPr>
          <w:trHeight w:val="23" w:hRule="atLeast"/>
          <w:jc w:val="center"/>
        </w:trPr>
        <w:tc>
          <w:tcPr>
            <w:tcW w:w="1097" w:type="pct"/>
            <w:tcBorders>
              <w:top w:val="nil"/>
              <w:left w:val="nil"/>
              <w:bottom w:val="nil"/>
              <w:right w:val="nil"/>
            </w:tcBorders>
            <w:shd w:val="clear" w:color="auto" w:fill="FFFFFF"/>
            <w:vAlign w:val="center"/>
          </w:tcPr>
          <w:p w14:paraId="0B21901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21A1934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4E9BEB3A">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强化自我效能感，</w:t>
            </w:r>
          </w:p>
        </w:tc>
      </w:tr>
      <w:tr w14:paraId="0AD896C0">
        <w:trPr>
          <w:trHeight w:val="23" w:hRule="atLeast"/>
          <w:jc w:val="center"/>
        </w:trPr>
        <w:tc>
          <w:tcPr>
            <w:tcW w:w="1097" w:type="pct"/>
            <w:tcBorders>
              <w:top w:val="nil"/>
              <w:left w:val="nil"/>
              <w:bottom w:val="single" w:color="000000" w:sz="12" w:space="0"/>
              <w:right w:val="nil"/>
            </w:tcBorders>
            <w:shd w:val="clear" w:color="auto" w:fill="FFFFFF"/>
            <w:vAlign w:val="center"/>
          </w:tcPr>
          <w:p w14:paraId="4D191072">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single" w:color="000000" w:sz="12" w:space="0"/>
              <w:right w:val="nil"/>
            </w:tcBorders>
            <w:shd w:val="clear" w:color="auto" w:fill="FFFFFF"/>
            <w:vAlign w:val="center"/>
          </w:tcPr>
          <w:p w14:paraId="5598D49B">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作品展示与</w:t>
            </w:r>
          </w:p>
        </w:tc>
        <w:tc>
          <w:tcPr>
            <w:tcW w:w="2103" w:type="pct"/>
            <w:tcBorders>
              <w:top w:val="nil"/>
              <w:left w:val="nil"/>
              <w:bottom w:val="single" w:color="000000" w:sz="12" w:space="0"/>
              <w:right w:val="nil"/>
            </w:tcBorders>
            <w:shd w:val="clear" w:color="auto" w:fill="FFFFFF"/>
            <w:vAlign w:val="center"/>
          </w:tcPr>
          <w:p w14:paraId="63212D6D">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增强归属感与社会价</w:t>
            </w:r>
          </w:p>
        </w:tc>
      </w:tr>
    </w:tbl>
    <w:p w14:paraId="321C09A9">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78AB5DED">
      <w:pPr>
        <w:rPr>
          <w:rFonts w:asciiTheme="minorEastAsia" w:hAnsiTheme="minorEastAsia" w:eastAsiaTheme="minorEastAsia" w:cstheme="minorEastAsia"/>
          <w:szCs w:val="21"/>
        </w:rPr>
      </w:pPr>
    </w:p>
    <w:p w14:paraId="613F3C84">
      <w:pPr>
        <w:rPr>
          <w:rFonts w:asciiTheme="minorEastAsia" w:hAnsiTheme="minorEastAsia" w:eastAsiaTheme="minorEastAsia" w:cstheme="minorEastAsia"/>
          <w:szCs w:val="21"/>
        </w:rPr>
      </w:pPr>
    </w:p>
    <w:p w14:paraId="520171B0">
      <w:pPr>
        <w:rPr>
          <w:rFonts w:asciiTheme="minorEastAsia" w:hAnsiTheme="minorEastAsia" w:eastAsiaTheme="minorEastAsia" w:cstheme="minorEastAsia"/>
          <w:szCs w:val="21"/>
        </w:rPr>
      </w:pPr>
    </w:p>
    <w:p w14:paraId="1C734FB2">
      <w:pPr>
        <w:rPr>
          <w:rFonts w:asciiTheme="minorEastAsia" w:hAnsiTheme="minorEastAsia" w:eastAsiaTheme="minorEastAsia" w:cstheme="minorEastAsia"/>
          <w:szCs w:val="21"/>
        </w:rPr>
      </w:pPr>
    </w:p>
    <w:p w14:paraId="0EC52294">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BCC431C">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最少不得少于5条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26375D9E">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王雅彬, 应芝, 郑晓园, 等. 热化学硫碘循环制氢系统研究进展[J].能源研究与信息,2021,37(3):169-175.</w:t>
      </w:r>
    </w:p>
    <w:p w14:paraId="350F4513">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5D9B91A">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[3] 刘相新, 孟宪颐.ANSYS基础与应用教程[M].北京:科学出版社,2006:6-98.</w:t>
      </w:r>
    </w:p>
    <w:p w14:paraId="2C9EF410">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6905C69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[5] 贾东琴, 柯平.面向数字素养的高校图书馆数字服务体系研究[C]//中国图书馆学会.中国图书馆学会年会论文集:2011年卷.北京:国家图书馆出版社,2011:45-52.</w:t>
      </w:r>
    </w:p>
    <w:p w14:paraId="1DA00185">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[6] ETROWSKI A. A clearing procedure as a niching method for genetic algorithms[C]//Proceedings of the 3rd </w:t>
      </w:r>
    </w:p>
    <w:p w14:paraId="1E67186C">
      <w:pPr>
        <w:widowControl/>
        <w:spacing w:line="280" w:lineRule="exact"/>
        <w:jc w:val="left"/>
        <w:rPr>
          <w:rFonts w:ascii="Times New Roman Regular" w:hAnsi="Times New Roman Regular" w:cs="Times New Roman Regular" w:eastAsiaTheme="minorEastAsia"/>
          <w:kern w:val="0"/>
          <w:sz w:val="20"/>
          <w:szCs w:val="20"/>
          <w:lang w:bidi="ar"/>
        </w:rPr>
      </w:pPr>
    </w:p>
    <w:p w14:paraId="2154EFDF">
      <w:pPr>
        <w:rPr>
          <w:rFonts w:asciiTheme="minorEastAsia" w:hAnsiTheme="minorEastAsia" w:eastAsiaTheme="minorEastAsia" w:cstheme="minorEastAsia"/>
          <w:szCs w:val="21"/>
          <w:shd w:val="clear" w:color="auto" w:fill="FFFFFF"/>
        </w:rPr>
      </w:pPr>
    </w:p>
    <w:p w14:paraId="27ED1233"/>
    <w:p w14:paraId="4CDFEFDD">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4601DA1C">
      <w:pPr>
        <w:spacing w:line="300" w:lineRule="exact"/>
        <w:rPr>
          <w:rFonts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1．论文应观点明确、新颖、资料翔实、可靠，论证严密、科学。来稿请通过本刊投稿系统投稿。</w:t>
      </w:r>
    </w:p>
    <w:p w14:paraId="5019426E">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74166321">
      <w:pPr>
        <w:spacing w:line="300" w:lineRule="exact"/>
        <w:rPr>
          <w:rFonts w:ascii="微软雅黑" w:hAnsi="微软雅黑" w:eastAsia="微软雅黑" w:cs="微软雅黑"/>
          <w:szCs w:val="21"/>
        </w:rPr>
      </w:pPr>
    </w:p>
    <w:p w14:paraId="19E5DBC8">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222D45A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3DD4C6EB">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26DFFD44">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7A03CFA6">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最少不得少于5条。文献按文章中出现先后顺序排列，以下列举了期刊、专著、论文集、学位论文、专利、网络文献的示例。</w:t>
      </w:r>
    </w:p>
    <w:p w14:paraId="7F420B1D">
      <w:pPr>
        <w:numPr>
          <w:ilvl w:val="0"/>
          <w:numId w:val="0"/>
        </w:numPr>
        <w:spacing w:line="340" w:lineRule="exact"/>
        <w:ind w:leftChars="0"/>
      </w:pPr>
      <w:r>
        <w:rPr>
          <w:rFonts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szCs w:val="32"/>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Nanum Myeongjo"/>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t">
    <w:altName w:val="苹方-简"/>
    <w:panose1 w:val="020B0604020202020204"/>
    <w:charset w:val="00"/>
    <w:family w:val="auto"/>
    <w:pitch w:val="default"/>
    <w:sig w:usb0="00000000" w:usb1="00000000" w:usb2="00000000" w:usb3="00000000" w:csb0="00000000" w:csb1="00000000"/>
  </w:font>
  <w:font w:name="黑体-简">
    <w:panose1 w:val="02000000000000000000"/>
    <w:charset w:val="86"/>
    <w:family w:val="auto"/>
    <w:pitch w:val="default"/>
    <w:sig w:usb0="8000002F" w:usb1="0800004A" w:usb2="00000000" w:usb3="00000000" w:csb0="203E0000" w:csb1="00000000"/>
  </w:font>
  <w:font w:name="微软雅黑">
    <w:altName w:val="汉仪旗黑"/>
    <w:panose1 w:val="020B0703020204020201"/>
    <w:charset w:val="86"/>
    <w:family w:val="swiss"/>
    <w:pitch w:val="default"/>
    <w:sig w:usb0="00000000" w:usb1="00000000"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楷体-简">
    <w:panose1 w:val="02010600040101010101"/>
    <w:charset w:val="86"/>
    <w:family w:val="auto"/>
    <w:pitch w:val="default"/>
    <w:sig w:usb0="80000287" w:usb1="280F3C52" w:usb2="00000016" w:usb3="00000000" w:csb0="0004001F" w:csb1="00000000"/>
  </w:font>
  <w:font w:name="Times New Roman Bold">
    <w:panose1 w:val="02020503050405090304"/>
    <w:charset w:val="00"/>
    <w:family w:val="auto"/>
    <w:pitch w:val="default"/>
    <w:sig w:usb0="E0000AFF" w:usb1="00007843" w:usb2="00000001" w:usb3="00000000" w:csb0="400001BF" w:csb1="DFF70000"/>
  </w:font>
  <w:font w:name="Arial Bold">
    <w:panose1 w:val="020B0604020202090204"/>
    <w:charset w:val="00"/>
    <w:family w:val="auto"/>
    <w:pitch w:val="default"/>
    <w:sig w:usb0="E0000AFF" w:usb1="00007843" w:usb2="00000001" w:usb3="00000000" w:csb0="400001BF" w:csb1="DFF70000"/>
  </w:font>
  <w:font w:name="楷体_GB2312">
    <w:altName w:val="汉仪楷体简"/>
    <w:panose1 w:val="020B0604020202020204"/>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1" w:usb1="080E0800" w:usb2="00000002" w:usb3="00000000" w:csb0="0004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Nanum Myeongjo">
    <w:panose1 w:val="00000000000000000000"/>
    <w:charset w:val="81"/>
    <w:family w:val="auto"/>
    <w:pitch w:val="default"/>
    <w:sig w:usb0="80000003" w:usb1="0151F8E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659A">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31A5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31A58">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4D376">
    <w:pPr>
      <w:pStyle w:val="5"/>
      <w:rPr>
        <w:rFonts w:ascii="微软雅黑" w:hAnsi="微软雅黑" w:eastAsia="微软雅黑" w:cs="微软雅黑"/>
      </w:rPr>
    </w:pP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DC2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4CDC22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447F82"/>
    <w:rsid w:val="005F2899"/>
    <w:rsid w:val="006959B6"/>
    <w:rsid w:val="009A441D"/>
    <w:rsid w:val="00AB1ACD"/>
    <w:rsid w:val="00DB7FBD"/>
    <w:rsid w:val="01CD2B81"/>
    <w:rsid w:val="0D8943FD"/>
    <w:rsid w:val="182D52EA"/>
    <w:rsid w:val="1A312930"/>
    <w:rsid w:val="215544BD"/>
    <w:rsid w:val="2C3F1489"/>
    <w:rsid w:val="2D945E18"/>
    <w:rsid w:val="32FF3E8B"/>
    <w:rsid w:val="336C62DB"/>
    <w:rsid w:val="35A653E8"/>
    <w:rsid w:val="35FF375A"/>
    <w:rsid w:val="377C6801"/>
    <w:rsid w:val="3A6467EB"/>
    <w:rsid w:val="3B37445F"/>
    <w:rsid w:val="3C3B4EAB"/>
    <w:rsid w:val="3CFF0268"/>
    <w:rsid w:val="3EFF322C"/>
    <w:rsid w:val="3FEEE908"/>
    <w:rsid w:val="3FEF0318"/>
    <w:rsid w:val="3FFAAF90"/>
    <w:rsid w:val="40551718"/>
    <w:rsid w:val="406243CC"/>
    <w:rsid w:val="40CA1BEA"/>
    <w:rsid w:val="418D5DEE"/>
    <w:rsid w:val="43184197"/>
    <w:rsid w:val="43396E18"/>
    <w:rsid w:val="43FC00EC"/>
    <w:rsid w:val="4F317A91"/>
    <w:rsid w:val="53CF1048"/>
    <w:rsid w:val="5BEF6D2B"/>
    <w:rsid w:val="5EEFE8A3"/>
    <w:rsid w:val="5EF76B19"/>
    <w:rsid w:val="5F09239F"/>
    <w:rsid w:val="5F7F0B1E"/>
    <w:rsid w:val="6018205E"/>
    <w:rsid w:val="60223146"/>
    <w:rsid w:val="61661484"/>
    <w:rsid w:val="64CC3C50"/>
    <w:rsid w:val="69E86736"/>
    <w:rsid w:val="6BA7B856"/>
    <w:rsid w:val="6FFA4BF7"/>
    <w:rsid w:val="701C6B8F"/>
    <w:rsid w:val="72665C4E"/>
    <w:rsid w:val="7569E1E8"/>
    <w:rsid w:val="75A33BF3"/>
    <w:rsid w:val="76CD589C"/>
    <w:rsid w:val="775F722A"/>
    <w:rsid w:val="77DBC2DC"/>
    <w:rsid w:val="7A116E46"/>
    <w:rsid w:val="7A430B9A"/>
    <w:rsid w:val="7A74C3DB"/>
    <w:rsid w:val="7DBD4C73"/>
    <w:rsid w:val="7DE20C95"/>
    <w:rsid w:val="7ED45422"/>
    <w:rsid w:val="7EF74CC2"/>
    <w:rsid w:val="7F7A59F2"/>
    <w:rsid w:val="7FF2440E"/>
    <w:rsid w:val="9FFD0D00"/>
    <w:rsid w:val="AFDAD15B"/>
    <w:rsid w:val="AFFFAB61"/>
    <w:rsid w:val="B3FED128"/>
    <w:rsid w:val="D7FBC08E"/>
    <w:rsid w:val="DDBA5997"/>
    <w:rsid w:val="EDFEB646"/>
    <w:rsid w:val="EFED7025"/>
    <w:rsid w:val="F4EF8B41"/>
    <w:rsid w:val="F9FDB121"/>
    <w:rsid w:val="FA71C3D3"/>
    <w:rsid w:val="FBFF3634"/>
    <w:rsid w:val="FE3F7F90"/>
    <w:rsid w:val="FEDF2F05"/>
    <w:rsid w:val="FF7FF9C3"/>
    <w:rsid w:val="FFAE0F52"/>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1580</Words>
  <Characters>2302</Characters>
  <Lines>18</Lines>
  <Paragraphs>5</Paragraphs>
  <TotalTime>0</TotalTime>
  <ScaleCrop>false</ScaleCrop>
  <LinksUpToDate>false</LinksUpToDate>
  <CharactersWithSpaces>2430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2025-02-13T08:54:00Z</dcterms:created>
  <dc:creator>陳未來</dc:creator>
  <cp:lastModifiedBy>CHEN KECUN</cp:lastModifiedBy>
  <cp:lastPrinted>2025-04-30T14:20:00Z</cp:lastPrinted>
  <dcterms:modified xsi:type="dcterms:W3CDTF">2026-06-17T13:01:10Z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694C42839E388907162A326AE8C32320_43</vt:lpwstr>
  </property>
  <property fmtid="{D5CDD505-2E9C-101B-9397-08002B2CF9AE}" pid="4" name="KSOTemplateDocerSaveRecord">
    <vt:lpwstr>eyJoZGlkIjoiNjUyYjM1MDgyZTIwOTQxN2Q1MGY4ZTg4OGFjZWRjZmUiLCJ1c2VySWQiOiIzOTEwMDM4NzAifQ==</vt:lpwstr>
  </property>
</Properties>
</file>