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BFD989">
      <w:pPr>
        <w:rPr>
          <w:rFonts w:hint="eastAsia" w:eastAsia="宋体"/>
          <w:lang w:val="en-US" w:eastAsia="zh-CN"/>
        </w:rPr>
      </w:pPr>
    </w:p>
    <w:p w14:paraId="287F0E0A">
      <w:pPr>
        <w:pStyle w:val="2"/>
        <w:spacing w:after="340" w:line="240" w:lineRule="auto"/>
        <w:jc w:val="center"/>
        <w:rPr>
          <w:rFonts w:ascii="微软雅黑" w:hAnsi="微软雅黑" w:eastAsia="微软雅黑" w:cs="微软雅黑"/>
          <w:sz w:val="36"/>
          <w:szCs w:val="36"/>
        </w:rPr>
      </w:pPr>
      <w:r>
        <w:rPr>
          <w:rFonts w:hint="eastAsia" w:ascii="微软雅黑" w:hAnsi="微软雅黑" w:eastAsia="微软雅黑" w:cs="微软雅黑"/>
          <w:b/>
          <w:color w:val="000000"/>
          <w:sz w:val="36"/>
          <w:szCs w:val="36"/>
        </w:rPr>
        <w:t>网络交友打赏型直播诈骗犯罪治理研究</w:t>
      </w:r>
    </w:p>
    <w:p w14:paraId="2D4A68A8">
      <w:pPr>
        <w:spacing w:after="280"/>
        <w:jc w:val="center"/>
        <w:rPr>
          <w:rFonts w:asciiTheme="majorEastAsia" w:hAnsiTheme="majorEastAsia" w:eastAsiaTheme="majorEastAsia" w:cstheme="majorEastAsia"/>
          <w:b/>
          <w:bCs/>
          <w:sz w:val="24"/>
          <w:szCs w:val="32"/>
        </w:rPr>
      </w:pPr>
      <w:r>
        <w:rPr>
          <w:rFonts w:hint="eastAsia" w:asciiTheme="majorEastAsia" w:hAnsiTheme="majorEastAsia" w:eastAsiaTheme="majorEastAsia" w:cstheme="majorEastAsia"/>
          <w:b/>
          <w:bCs/>
          <w:color w:val="000000"/>
          <w:sz w:val="24"/>
          <w:szCs w:val="32"/>
        </w:rPr>
        <w:t>邹艾青</w:t>
      </w:r>
      <w:r>
        <w:rPr>
          <w:rFonts w:hint="eastAsia" w:asciiTheme="majorEastAsia" w:hAnsiTheme="majorEastAsia" w:eastAsiaTheme="majorEastAsia" w:cstheme="majorEastAsia"/>
          <w:b/>
          <w:bCs/>
          <w:sz w:val="24"/>
          <w:szCs w:val="32"/>
          <w:vertAlign w:val="superscript"/>
        </w:rPr>
        <w:t xml:space="preserve">1 </w:t>
      </w:r>
      <w:r>
        <w:rPr>
          <w:rFonts w:hint="eastAsia" w:asciiTheme="majorEastAsia" w:hAnsiTheme="majorEastAsia" w:eastAsiaTheme="majorEastAsia" w:cstheme="majorEastAsia"/>
          <w:b/>
          <w:bCs/>
          <w:color w:val="000000"/>
          <w:sz w:val="24"/>
          <w:szCs w:val="32"/>
        </w:rPr>
        <w:t>许睿超</w:t>
      </w:r>
      <w:r>
        <w:rPr>
          <w:rFonts w:hint="eastAsia" w:asciiTheme="majorEastAsia" w:hAnsiTheme="majorEastAsia" w:eastAsiaTheme="majorEastAsia" w:cstheme="majorEastAsia"/>
          <w:b/>
          <w:bCs/>
          <w:sz w:val="24"/>
          <w:szCs w:val="32"/>
          <w:vertAlign w:val="superscript"/>
        </w:rPr>
        <w:t>2</w:t>
      </w:r>
      <w:r>
        <w:rPr>
          <w:rFonts w:hint="eastAsia" w:asciiTheme="majorEastAsia" w:hAnsiTheme="majorEastAsia" w:eastAsiaTheme="majorEastAsia" w:cstheme="majorEastAsia"/>
          <w:b/>
          <w:bCs/>
          <w:color w:val="000000"/>
          <w:sz w:val="24"/>
          <w:szCs w:val="32"/>
        </w:rPr>
        <w:t>骆羽鸣</w:t>
      </w:r>
      <w:r>
        <w:rPr>
          <w:rFonts w:hint="eastAsia" w:asciiTheme="majorEastAsia" w:hAnsiTheme="majorEastAsia" w:eastAsiaTheme="majorEastAsia" w:cstheme="majorEastAsia"/>
          <w:b/>
          <w:bCs/>
          <w:sz w:val="24"/>
          <w:szCs w:val="32"/>
          <w:vertAlign w:val="superscript"/>
        </w:rPr>
        <w:t>2</w:t>
      </w:r>
    </w:p>
    <w:p w14:paraId="1A9DB266">
      <w:pPr>
        <w:spacing w:after="280"/>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color w:val="000000"/>
          <w:sz w:val="21"/>
          <w:szCs w:val="21"/>
        </w:rPr>
        <w:t>（1.</w:t>
      </w:r>
      <w:r>
        <w:rPr>
          <w:rFonts w:hint="eastAsia" w:asciiTheme="minorEastAsia" w:hAnsiTheme="minorEastAsia" w:eastAsiaTheme="minorEastAsia" w:cstheme="minorEastAsia"/>
          <w:color w:val="000000"/>
          <w:sz w:val="21"/>
          <w:szCs w:val="21"/>
          <w:lang w:val="en-US" w:eastAsia="zh-CN"/>
        </w:rPr>
        <w:t>南京工业</w:t>
      </w:r>
      <w:r>
        <w:rPr>
          <w:rFonts w:hint="eastAsia" w:asciiTheme="minorEastAsia" w:hAnsiTheme="minorEastAsia" w:eastAsiaTheme="minorEastAsia" w:cstheme="minorEastAsia"/>
          <w:color w:val="000000"/>
          <w:sz w:val="21"/>
          <w:szCs w:val="21"/>
        </w:rPr>
        <w:t>大学，</w:t>
      </w:r>
      <w:r>
        <w:rPr>
          <w:rFonts w:hint="eastAsia" w:asciiTheme="minorEastAsia" w:hAnsiTheme="minorEastAsia" w:eastAsiaTheme="minorEastAsia" w:cstheme="minorEastAsia"/>
          <w:color w:val="000000"/>
          <w:sz w:val="21"/>
          <w:szCs w:val="21"/>
          <w:lang w:val="en-US" w:eastAsia="zh-CN"/>
        </w:rPr>
        <w:t>江苏 南京211816</w:t>
      </w:r>
      <w:r>
        <w:rPr>
          <w:rFonts w:hint="eastAsia" w:asciiTheme="minorEastAsia" w:hAnsiTheme="minorEastAsia" w:eastAsiaTheme="minorEastAsia" w:cstheme="minorEastAsia"/>
          <w:szCs w:val="21"/>
        </w:rPr>
        <w:t>，2.</w:t>
      </w:r>
      <w:r>
        <w:rPr>
          <w:rFonts w:hint="eastAsia" w:asciiTheme="minorEastAsia" w:hAnsiTheme="minorEastAsia" w:eastAsiaTheme="minorEastAsia" w:cstheme="minorEastAsia"/>
          <w:szCs w:val="21"/>
          <w:lang w:val="en-US" w:eastAsia="zh-CN"/>
        </w:rPr>
        <w:t>南京工业</w:t>
      </w:r>
      <w:r>
        <w:rPr>
          <w:rFonts w:hint="eastAsia" w:asciiTheme="minorEastAsia" w:hAnsiTheme="minorEastAsia" w:eastAsiaTheme="minorEastAsia" w:cstheme="minorEastAsia"/>
          <w:szCs w:val="21"/>
        </w:rPr>
        <w:t>大学，</w:t>
      </w:r>
      <w:r>
        <w:rPr>
          <w:rFonts w:hint="eastAsia" w:asciiTheme="minorEastAsia" w:hAnsiTheme="minorEastAsia" w:eastAsiaTheme="minorEastAsia" w:cstheme="minorEastAsia"/>
          <w:szCs w:val="21"/>
          <w:lang w:val="en-US" w:eastAsia="zh-CN"/>
        </w:rPr>
        <w:t>江苏</w:t>
      </w:r>
      <w:r>
        <w:rPr>
          <w:rFonts w:hint="eastAsia" w:asciiTheme="minorEastAsia" w:hAnsiTheme="minorEastAsia" w:eastAsiaTheme="minorEastAsia" w:cstheme="minorEastAsia"/>
          <w:szCs w:val="21"/>
        </w:rPr>
        <w:t xml:space="preserve"> </w:t>
      </w:r>
      <w:r>
        <w:rPr>
          <w:rFonts w:hint="eastAsia" w:asciiTheme="minorEastAsia" w:hAnsiTheme="minorEastAsia" w:eastAsiaTheme="minorEastAsia" w:cstheme="minorEastAsia"/>
          <w:szCs w:val="21"/>
          <w:lang w:val="en-US" w:eastAsia="zh-CN"/>
        </w:rPr>
        <w:t>南京211816</w:t>
      </w:r>
      <w:r>
        <w:rPr>
          <w:rFonts w:hint="eastAsia" w:asciiTheme="minorEastAsia" w:hAnsiTheme="minorEastAsia" w:eastAsiaTheme="minorEastAsia" w:cstheme="minorEastAsia"/>
          <w:color w:val="000000"/>
          <w:sz w:val="21"/>
          <w:szCs w:val="21"/>
        </w:rPr>
        <w:t>）</w:t>
      </w:r>
    </w:p>
    <w:p w14:paraId="2ED1C3D4">
      <w:pPr>
        <w:pStyle w:val="14"/>
        <w:spacing w:after="120" w:line="280" w:lineRule="exact"/>
        <w:ind w:firstLine="0" w:firstLineChars="0"/>
        <w:rPr>
          <w:rFonts w:ascii="微软雅黑" w:hAnsi="微软雅黑" w:eastAsia="微软雅黑" w:cs="微软雅黑"/>
          <w:szCs w:val="18"/>
        </w:rPr>
      </w:pPr>
      <w:r>
        <w:rPr>
          <w:rFonts w:hint="eastAsia" w:ascii="微软雅黑" w:hAnsi="微软雅黑" w:eastAsia="微软雅黑" w:cs="微软雅黑"/>
          <w:szCs w:val="18"/>
        </w:rPr>
        <w:t>摘  要：</w:t>
      </w:r>
      <w:r>
        <w:rPr>
          <w:rFonts w:hint="eastAsia" w:ascii="微软雅黑" w:hAnsi="微软雅黑" w:eastAsia="楷体" w:cs="微软雅黑"/>
          <w:color w:val="000000"/>
          <w:sz w:val="20"/>
          <w:szCs w:val="18"/>
        </w:rPr>
        <w:t>网络交友打赏型直播诈骗是近年来高发的新型网络侵财犯罪，其将虚假情感关系构建与直播打赏诱导相结合，借助平台分账机制获取违法所得，具有周期长、团伙分工明确、消费属性掩盖诈骗本质、平台角色复杂等特点。本文在界定该类犯罪概念、梳理总体态势与行为类型的基础上，从犯罪主体、被害人、技术、制度监管与法律五个维度剖析其生成机理，进而审视当前治理的成效与困境，并从完善刑事司法认定规则、构建全链条平台责任体系、健全被害人救济机制、搭建全链条协同治理体系四个方面提出治理路径优化建议，以期为新型网络诈骗行为的法律应对提供理论支持与实践指导。</w:t>
      </w:r>
    </w:p>
    <w:p w14:paraId="40526E83">
      <w:pPr>
        <w:pStyle w:val="14"/>
        <w:spacing w:after="120" w:line="280" w:lineRule="exact"/>
        <w:ind w:firstLine="0" w:firstLineChars="0"/>
        <w:rPr>
          <w:rFonts w:ascii="微软雅黑" w:hAnsi="微软雅黑" w:eastAsia="微软雅黑" w:cs="微软雅黑"/>
          <w:szCs w:val="18"/>
        </w:rPr>
      </w:pPr>
      <w:r>
        <w:rPr>
          <w:rFonts w:hint="eastAsia" w:ascii="微软雅黑" w:hAnsi="微软雅黑" w:eastAsia="微软雅黑" w:cs="微软雅黑"/>
          <w:szCs w:val="18"/>
        </w:rPr>
        <w:t>关键词：</w:t>
      </w:r>
      <w:r>
        <w:rPr>
          <w:rFonts w:hint="eastAsia" w:ascii="微软雅黑" w:hAnsi="微软雅黑" w:eastAsia="楷体" w:cs="微软雅黑"/>
          <w:color w:val="000000"/>
          <w:sz w:val="20"/>
          <w:szCs w:val="18"/>
        </w:rPr>
        <w:t>网络交友打赏型直播诈骗；法律防治；防治对策</w:t>
      </w:r>
    </w:p>
    <w:p w14:paraId="469375E3">
      <w:pPr>
        <w:pStyle w:val="14"/>
        <w:spacing w:after="120" w:line="280" w:lineRule="exact"/>
        <w:ind w:firstLine="0" w:firstLineChars="0"/>
        <w:rPr>
          <w:rFonts w:hint="eastAsia" w:ascii="楷体" w:hAnsi="楷体" w:eastAsia="楷体" w:cs="楷体"/>
          <w:color w:val="000000"/>
          <w:sz w:val="20"/>
          <w:szCs w:val="18"/>
          <w:lang w:val="en-US" w:eastAsia="zh-CN"/>
        </w:rPr>
      </w:pPr>
      <w:r>
        <w:rPr>
          <w:rFonts w:hint="eastAsia" w:ascii="微软雅黑" w:hAnsi="微软雅黑" w:eastAsia="微软雅黑" w:cs="微软雅黑"/>
          <w:szCs w:val="18"/>
        </w:rPr>
        <w:t>基金项目：</w:t>
      </w:r>
      <w:r>
        <w:rPr>
          <w:rFonts w:hint="eastAsia" w:ascii="微软雅黑" w:hAnsi="微软雅黑" w:eastAsia="楷体" w:cs="微软雅黑"/>
          <w:color w:val="000000"/>
          <w:sz w:val="20"/>
          <w:szCs w:val="18"/>
          <w:lang w:val="en-US" w:eastAsia="zh-CN"/>
        </w:rPr>
        <w:t>南京工业大学大学生创新创业训练计划</w:t>
      </w:r>
      <w:r>
        <w:rPr>
          <w:rFonts w:hint="eastAsia" w:ascii="楷体" w:hAnsi="楷体" w:eastAsia="楷体" w:cs="楷体"/>
          <w:color w:val="000000"/>
          <w:sz w:val="20"/>
          <w:szCs w:val="18"/>
        </w:rPr>
        <w:t>(</w:t>
      </w:r>
      <w:r>
        <w:rPr>
          <w:rFonts w:hint="eastAsia" w:ascii="楷体" w:hAnsi="楷体" w:eastAsia="楷体" w:cs="楷体"/>
          <w:color w:val="000000"/>
          <w:sz w:val="20"/>
          <w:szCs w:val="18"/>
          <w:lang w:val="en-US" w:eastAsia="zh-CN"/>
        </w:rPr>
        <w:t>202421121050</w:t>
      </w:r>
      <w:r>
        <w:rPr>
          <w:rFonts w:hint="eastAsia" w:ascii="楷体" w:hAnsi="楷体" w:eastAsia="楷体" w:cs="楷体"/>
          <w:color w:val="000000"/>
          <w:sz w:val="20"/>
          <w:szCs w:val="18"/>
        </w:rPr>
        <w:t>)</w:t>
      </w:r>
    </w:p>
    <w:p w14:paraId="5D5A88CF">
      <w:pPr>
        <w:pStyle w:val="14"/>
        <w:spacing w:after="120" w:line="280" w:lineRule="exact"/>
        <w:ind w:firstLine="0" w:firstLineChars="0"/>
        <w:rPr>
          <w:rFonts w:ascii="Times New Roman Regular" w:hAnsi="Times New Roman Regular" w:eastAsia="微软雅黑" w:cs="Times New Roman Regular"/>
          <w:szCs w:val="18"/>
        </w:rPr>
      </w:pPr>
      <w:r>
        <w:rPr>
          <w:rFonts w:ascii="Times New Roman Regular" w:hAnsi="Times New Roman Regular" w:eastAsia="微软雅黑" w:cs="Times New Roman Regular"/>
          <w:szCs w:val="18"/>
        </w:rPr>
        <w:t>DOI：doi.org/10.70693/rwsk.v1i5.***</w:t>
      </w:r>
    </w:p>
    <w:p w14:paraId="584B5C74">
      <w:pPr>
        <w:widowControl/>
        <w:jc w:val="both"/>
        <w:rPr>
          <w:rFonts w:hint="eastAsia" w:ascii="微软雅黑" w:hAnsi="微软雅黑" w:eastAsia="微软雅黑" w:cs="微软雅黑"/>
          <w:sz w:val="15"/>
          <w:szCs w:val="15"/>
        </w:rPr>
      </w:pPr>
      <w:r>
        <w:rPr>
          <w:rFonts w:hint="eastAsia" w:ascii="微软雅黑" w:hAnsi="微软雅黑" w:eastAsia="微软雅黑" w:cs="微软雅黑"/>
          <w:b/>
          <w:sz w:val="15"/>
          <w:szCs w:val="15"/>
        </w:rPr>
        <w:t>作者简介：</w:t>
      </w:r>
      <w:r>
        <w:rPr>
          <w:rFonts w:hint="eastAsia" w:ascii="微软雅黑" w:hAnsi="微软雅黑" w:eastAsia="微软雅黑" w:cs="微软雅黑"/>
          <w:sz w:val="15"/>
          <w:szCs w:val="15"/>
        </w:rPr>
        <w:t>邹艾青（20</w:t>
      </w:r>
      <w:r>
        <w:rPr>
          <w:rFonts w:hint="eastAsia" w:ascii="微软雅黑" w:hAnsi="微软雅黑" w:eastAsia="微软雅黑" w:cs="微软雅黑"/>
          <w:sz w:val="15"/>
          <w:szCs w:val="15"/>
          <w:lang w:val="en-US" w:eastAsia="zh-CN"/>
        </w:rPr>
        <w:t>06</w:t>
      </w:r>
      <w:r>
        <w:rPr>
          <w:rFonts w:hint="eastAsia" w:ascii="微软雅黑" w:hAnsi="微软雅黑" w:eastAsia="微软雅黑" w:cs="微软雅黑"/>
          <w:sz w:val="15"/>
          <w:szCs w:val="15"/>
        </w:rPr>
        <w:t>—），</w:t>
      </w:r>
      <w:r>
        <w:rPr>
          <w:rFonts w:hint="eastAsia" w:ascii="微软雅黑" w:hAnsi="微软雅黑" w:eastAsia="微软雅黑" w:cs="微软雅黑"/>
          <w:sz w:val="15"/>
          <w:szCs w:val="15"/>
          <w:lang w:val="en-US" w:eastAsia="zh-CN"/>
        </w:rPr>
        <w:t>女，</w:t>
      </w:r>
      <w:r>
        <w:rPr>
          <w:rFonts w:hint="eastAsia" w:ascii="微软雅黑" w:hAnsi="微软雅黑" w:eastAsia="微软雅黑" w:cs="微软雅黑"/>
          <w:sz w:val="15"/>
          <w:szCs w:val="15"/>
        </w:rPr>
        <w:t>本科在读，研究方向为</w:t>
      </w:r>
      <w:r>
        <w:rPr>
          <w:rFonts w:hint="eastAsia" w:ascii="微软雅黑" w:hAnsi="微软雅黑" w:eastAsia="微软雅黑" w:cs="微软雅黑"/>
          <w:sz w:val="15"/>
          <w:szCs w:val="15"/>
          <w:lang w:val="en-US" w:eastAsia="zh-CN"/>
        </w:rPr>
        <w:t>刑法</w:t>
      </w:r>
      <w:r>
        <w:rPr>
          <w:rFonts w:hint="eastAsia" w:ascii="微软雅黑" w:hAnsi="微软雅黑" w:eastAsia="微软雅黑" w:cs="微软雅黑"/>
          <w:sz w:val="15"/>
          <w:szCs w:val="15"/>
        </w:rPr>
        <w:t>；</w:t>
      </w:r>
    </w:p>
    <w:p w14:paraId="39874029">
      <w:pPr>
        <w:widowControl/>
        <w:ind w:firstLine="750" w:firstLineChars="500"/>
        <w:jc w:val="both"/>
        <w:rPr>
          <w:rFonts w:hint="eastAsia" w:ascii="微软雅黑" w:hAnsi="微软雅黑" w:eastAsia="微软雅黑" w:cs="微软雅黑"/>
          <w:sz w:val="15"/>
          <w:szCs w:val="15"/>
        </w:rPr>
      </w:pPr>
      <w:r>
        <w:rPr>
          <w:rFonts w:hint="eastAsia" w:ascii="微软雅黑" w:hAnsi="微软雅黑" w:eastAsia="微软雅黑" w:cs="微软雅黑"/>
          <w:sz w:val="15"/>
          <w:szCs w:val="15"/>
        </w:rPr>
        <w:t>许睿超（20</w:t>
      </w:r>
      <w:r>
        <w:rPr>
          <w:rFonts w:hint="eastAsia" w:ascii="微软雅黑" w:hAnsi="微软雅黑" w:eastAsia="微软雅黑" w:cs="微软雅黑"/>
          <w:sz w:val="15"/>
          <w:szCs w:val="15"/>
          <w:lang w:val="en-US" w:eastAsia="zh-CN"/>
        </w:rPr>
        <w:t>06</w:t>
      </w:r>
      <w:r>
        <w:rPr>
          <w:rFonts w:hint="eastAsia" w:ascii="微软雅黑" w:hAnsi="微软雅黑" w:eastAsia="微软雅黑" w:cs="微软雅黑"/>
          <w:sz w:val="15"/>
          <w:szCs w:val="15"/>
        </w:rPr>
        <w:t>—），</w:t>
      </w:r>
      <w:r>
        <w:rPr>
          <w:rFonts w:hint="eastAsia" w:ascii="微软雅黑" w:hAnsi="微软雅黑" w:eastAsia="微软雅黑" w:cs="微软雅黑"/>
          <w:sz w:val="15"/>
          <w:szCs w:val="15"/>
          <w:lang w:val="en-US" w:eastAsia="zh-CN"/>
        </w:rPr>
        <w:t>男，</w:t>
      </w:r>
      <w:r>
        <w:rPr>
          <w:rFonts w:hint="eastAsia" w:ascii="微软雅黑" w:hAnsi="微软雅黑" w:eastAsia="微软雅黑" w:cs="微软雅黑"/>
          <w:sz w:val="15"/>
          <w:szCs w:val="15"/>
        </w:rPr>
        <w:t>本科在读，研究方向为</w:t>
      </w:r>
      <w:r>
        <w:rPr>
          <w:rFonts w:hint="eastAsia" w:ascii="微软雅黑" w:hAnsi="微软雅黑" w:eastAsia="微软雅黑" w:cs="微软雅黑"/>
          <w:sz w:val="15"/>
          <w:szCs w:val="15"/>
          <w:lang w:val="en-US" w:eastAsia="zh-CN"/>
        </w:rPr>
        <w:t>刑法</w:t>
      </w:r>
      <w:r>
        <w:rPr>
          <w:rFonts w:hint="eastAsia" w:ascii="微软雅黑" w:hAnsi="微软雅黑" w:eastAsia="微软雅黑" w:cs="微软雅黑"/>
          <w:sz w:val="15"/>
          <w:szCs w:val="15"/>
        </w:rPr>
        <w:t>；</w:t>
      </w:r>
    </w:p>
    <w:p w14:paraId="77174C58">
      <w:pPr>
        <w:widowControl/>
        <w:ind w:firstLine="750" w:firstLineChars="500"/>
        <w:jc w:val="both"/>
        <w:rPr>
          <w:rFonts w:hint="eastAsia" w:ascii="微软雅黑" w:hAnsi="微软雅黑" w:eastAsia="微软雅黑" w:cs="微软雅黑"/>
          <w:sz w:val="15"/>
          <w:szCs w:val="15"/>
        </w:rPr>
      </w:pPr>
      <w:r>
        <w:rPr>
          <w:rFonts w:hint="eastAsia" w:ascii="微软雅黑" w:hAnsi="微软雅黑" w:eastAsia="微软雅黑" w:cs="微软雅黑"/>
          <w:sz w:val="15"/>
          <w:szCs w:val="15"/>
        </w:rPr>
        <w:t>骆羽鸣（20</w:t>
      </w:r>
      <w:r>
        <w:rPr>
          <w:rFonts w:hint="eastAsia" w:ascii="微软雅黑" w:hAnsi="微软雅黑" w:eastAsia="微软雅黑" w:cs="微软雅黑"/>
          <w:sz w:val="15"/>
          <w:szCs w:val="15"/>
          <w:lang w:val="en-US" w:eastAsia="zh-CN"/>
        </w:rPr>
        <w:t>05</w:t>
      </w:r>
      <w:r>
        <w:rPr>
          <w:rFonts w:hint="eastAsia" w:ascii="微软雅黑" w:hAnsi="微软雅黑" w:eastAsia="微软雅黑" w:cs="微软雅黑"/>
          <w:sz w:val="15"/>
          <w:szCs w:val="15"/>
        </w:rPr>
        <w:t>—），</w:t>
      </w:r>
      <w:r>
        <w:rPr>
          <w:rFonts w:hint="eastAsia" w:ascii="微软雅黑" w:hAnsi="微软雅黑" w:eastAsia="微软雅黑" w:cs="微软雅黑"/>
          <w:sz w:val="15"/>
          <w:szCs w:val="15"/>
          <w:lang w:val="en-US" w:eastAsia="zh-CN"/>
        </w:rPr>
        <w:t>女，</w:t>
      </w:r>
      <w:r>
        <w:rPr>
          <w:rFonts w:hint="eastAsia" w:ascii="微软雅黑" w:hAnsi="微软雅黑" w:eastAsia="微软雅黑" w:cs="微软雅黑"/>
          <w:sz w:val="15"/>
          <w:szCs w:val="15"/>
        </w:rPr>
        <w:t>本科在读，研究方向为</w:t>
      </w:r>
      <w:r>
        <w:rPr>
          <w:rFonts w:hint="eastAsia" w:ascii="微软雅黑" w:hAnsi="微软雅黑" w:eastAsia="微软雅黑" w:cs="微软雅黑"/>
          <w:sz w:val="15"/>
          <w:szCs w:val="15"/>
          <w:lang w:val="en-US" w:eastAsia="zh-CN"/>
        </w:rPr>
        <w:t>刑法</w:t>
      </w:r>
      <w:r>
        <w:rPr>
          <w:rFonts w:hint="eastAsia" w:ascii="微软雅黑" w:hAnsi="微软雅黑" w:eastAsia="微软雅黑" w:cs="微软雅黑"/>
          <w:sz w:val="15"/>
          <w:szCs w:val="15"/>
        </w:rPr>
        <w:t>。</w:t>
      </w:r>
    </w:p>
    <w:p w14:paraId="5A776009">
      <w:pPr>
        <w:spacing w:line="288" w:lineRule="auto"/>
        <w:rPr>
          <w:rFonts w:hint="eastAsia" w:ascii="微软雅黑" w:hAnsi="微软雅黑" w:eastAsia="微软雅黑" w:cs="微软雅黑"/>
          <w:sz w:val="15"/>
          <w:szCs w:val="15"/>
          <w:lang w:val="en-US" w:eastAsia="zh-CN"/>
        </w:rPr>
      </w:pPr>
      <w:r>
        <w:rPr>
          <w:rStyle w:val="12"/>
          <w:rFonts w:hint="eastAsia" w:ascii="微软雅黑" w:hAnsi="微软雅黑" w:eastAsia="微软雅黑" w:cs="微软雅黑"/>
          <w:sz w:val="15"/>
          <w:szCs w:val="15"/>
        </w:rPr>
        <w:t>通讯作者：</w:t>
      </w:r>
      <w:r>
        <w:rPr>
          <w:rFonts w:hint="eastAsia" w:ascii="微软雅黑" w:hAnsi="微软雅黑" w:eastAsia="微软雅黑" w:cs="微软雅黑"/>
          <w:sz w:val="15"/>
          <w:szCs w:val="15"/>
          <w:lang w:val="en-US" w:eastAsia="zh-CN"/>
        </w:rPr>
        <w:t>邹艾青</w:t>
      </w:r>
    </w:p>
    <w:p w14:paraId="12F447BA">
      <w:pPr>
        <w:spacing w:line="288" w:lineRule="auto"/>
        <w:rPr>
          <w:rFonts w:hint="eastAsia" w:ascii="微软雅黑" w:hAnsi="微软雅黑" w:eastAsia="微软雅黑" w:cs="微软雅黑"/>
          <w:sz w:val="15"/>
          <w:szCs w:val="15"/>
          <w:lang w:val="en-US" w:eastAsia="zh-CN"/>
        </w:rPr>
      </w:pPr>
    </w:p>
    <w:p w14:paraId="415FB4D7">
      <w:pPr>
        <w:spacing w:line="288" w:lineRule="auto"/>
        <w:rPr>
          <w:rFonts w:hint="eastAsia" w:ascii="微软雅黑" w:hAnsi="微软雅黑" w:eastAsia="微软雅黑" w:cs="微软雅黑"/>
          <w:sz w:val="15"/>
          <w:szCs w:val="15"/>
          <w:lang w:val="en-US" w:eastAsia="zh-CN"/>
        </w:rPr>
        <w:sectPr>
          <w:footerReference r:id="rId4" w:type="first"/>
          <w:footerReference r:id="rId3" w:type="default"/>
          <w:pgSz w:w="11906" w:h="16838"/>
          <w:pgMar w:top="1497" w:right="1080" w:bottom="1440" w:left="1080" w:header="1247" w:footer="1020" w:gutter="0"/>
          <w:cols w:space="0" w:num="1"/>
          <w:titlePg/>
          <w:docGrid w:type="lines" w:linePitch="312" w:charSpace="0"/>
        </w:sectPr>
      </w:pPr>
    </w:p>
    <w:p w14:paraId="785F3153">
      <w:pPr>
        <w:pStyle w:val="3"/>
        <w:spacing w:before="120" w:after="120" w:line="280" w:lineRule="exact"/>
        <w:rPr>
          <w:rFonts w:hint="eastAsia" w:ascii="微软雅黑" w:hAnsi="微软雅黑" w:eastAsia="微软雅黑" w:cs="微软雅黑"/>
          <w:b w:val="0"/>
          <w:bCs/>
          <w:sz w:val="20"/>
          <w:szCs w:val="20"/>
          <w:highlight w:val="yellow"/>
          <w:lang w:val="en-US" w:eastAsia="zh-CN"/>
        </w:rPr>
      </w:pPr>
      <w:r>
        <w:rPr>
          <w:rFonts w:hint="eastAsia" w:ascii="微软雅黑" w:hAnsi="微软雅黑" w:eastAsia="微软雅黑" w:cs="微软雅黑"/>
          <w:b w:val="0"/>
          <w:bCs/>
          <w:color w:val="000000"/>
          <w:sz w:val="20"/>
          <w:szCs w:val="21"/>
        </w:rPr>
        <w:t>一、</w:t>
      </w:r>
      <w:r>
        <w:rPr>
          <w:rFonts w:hint="eastAsia" w:ascii="微软雅黑" w:hAnsi="微软雅黑" w:eastAsia="微软雅黑" w:cs="微软雅黑"/>
          <w:b w:val="0"/>
          <w:bCs/>
          <w:color w:val="000000"/>
          <w:sz w:val="20"/>
          <w:szCs w:val="21"/>
          <w:lang w:val="en-US" w:eastAsia="zh-CN"/>
        </w:rPr>
        <w:t>引言</w:t>
      </w:r>
    </w:p>
    <w:p w14:paraId="1FED92D7">
      <w:pPr>
        <w:spacing w:line="280" w:lineRule="exact"/>
        <w:ind w:firstLine="400" w:firstLineChars="200"/>
        <w:rPr>
          <w:rFonts w:asciiTheme="majorEastAsia" w:hAnsiTheme="majorEastAsia" w:eastAsiaTheme="majorEastAsia" w:cstheme="majorEastAsia"/>
          <w:sz w:val="20"/>
          <w:szCs w:val="20"/>
        </w:rPr>
      </w:pPr>
      <w:r>
        <w:rPr>
          <w:rFonts w:eastAsia="宋体"/>
          <w:color w:val="000000"/>
          <w:sz w:val="20"/>
        </w:rPr>
        <w:t>网络直播行业的快速崛起，在丰富公众数字文化生活的同时，也催生了新型网络犯罪形态。直播打赏机制作为平台核心盈利模式，将用户的情感表达与金钱给付行为直接挂钩，原本设计为内容付费的激励机制，却在实践中被不法分子异化为诈骗工具。网络交友打赏型直播诈骗，是指行为人以建立恋爱关系、线下见面、承诺回报等虚假情感关系为诱饵，通过直播平台诱导受害人持续进行高额打赏，待榨干财产后失联或拉黑的新型网络侵财行为。</w:t>
      </w:r>
    </w:p>
    <w:p w14:paraId="5240BAE5">
      <w:pPr>
        <w:spacing w:line="280" w:lineRule="exact"/>
        <w:ind w:firstLine="400" w:firstLineChars="200"/>
        <w:rPr>
          <w:rFonts w:asciiTheme="majorEastAsia" w:hAnsiTheme="majorEastAsia" w:eastAsiaTheme="majorEastAsia" w:cstheme="majorEastAsia"/>
          <w:sz w:val="20"/>
          <w:szCs w:val="20"/>
        </w:rPr>
      </w:pPr>
      <w:r>
        <w:rPr>
          <w:rFonts w:eastAsia="宋体"/>
          <w:color w:val="000000"/>
          <w:sz w:val="20"/>
        </w:rPr>
        <w:t>与传统诈骗相比，此类犯罪呈现三个显著特征：一是情感操控的深度化，诈骗者通常以“主播”“运营人员”等身份与受害人建立虚假恋爱关系，周期可达数周甚至数月；二是打赏行为的消费属性掩盖诈骗本质，诈骗者以“自愿给付”为由主张规避刑事责任；三是平台角色的复杂性，直播平台从每笔打赏中抽取30%至50%的分成，在识别和阻断诈骗行为时存在内在的利益冲突。</w:t>
      </w:r>
    </w:p>
    <w:p w14:paraId="2B81C87C">
      <w:pPr>
        <w:spacing w:line="280" w:lineRule="exact"/>
        <w:ind w:firstLine="400" w:firstLineChars="200"/>
        <w:rPr>
          <w:rFonts w:asciiTheme="majorEastAsia" w:hAnsiTheme="majorEastAsia" w:eastAsiaTheme="majorEastAsia" w:cstheme="majorEastAsia"/>
          <w:sz w:val="20"/>
          <w:szCs w:val="20"/>
        </w:rPr>
      </w:pPr>
      <w:r>
        <w:rPr>
          <w:rFonts w:eastAsia="宋体"/>
          <w:color w:val="000000"/>
          <w:sz w:val="20"/>
        </w:rPr>
        <w:t>现行法律体</w:t>
      </w:r>
      <w:r>
        <w:rPr>
          <w:rFonts w:hint="eastAsia" w:eastAsia="宋体"/>
          <w:color w:val="000000"/>
          <w:sz w:val="20"/>
          <w:lang w:val="en-US" w:eastAsia="zh-CN"/>
        </w:rPr>
        <w:t>系</w:t>
      </w:r>
      <w:r>
        <w:rPr>
          <w:rFonts w:eastAsia="宋体"/>
          <w:color w:val="000000"/>
          <w:sz w:val="20"/>
        </w:rPr>
        <w:t>应对此类诈骗时面临多重困境：在刑事认定层面，打赏行为是否构成“错误认识”争议较大，部分司法机关将此类案件定性为民事赠与纠纷；在民事责任层面，平台是否负有对虚假人设和诱导打赏行为的审核义务、打赏款项能否请求返还，缺乏明确规定；在监管层面，直播打赏缺乏单笔限额、频次预警、冷静期等制度设计。同时，此类诈骗通常伴随大规模个人信息泄露，责任追溯常陷入举证困难、因果链条断裂等困境。基于上述背景，本文以网络交友打赏型直播诈骗为研究对象，聚焦其行为构造、法律定性与责任分配问题，从民商法视角探讨受害人救济路径与平台责任边界，为构建系统性防治体系提供理论支持。</w:t>
      </w:r>
    </w:p>
    <w:p w14:paraId="57923AFB">
      <w:pPr>
        <w:pStyle w:val="3"/>
        <w:spacing w:before="120" w:after="120" w:line="280" w:lineRule="exact"/>
        <w:rPr>
          <w:rFonts w:ascii="微软雅黑" w:hAnsi="微软雅黑" w:eastAsia="微软雅黑" w:cs="微软雅黑"/>
          <w:sz w:val="20"/>
          <w:szCs w:val="20"/>
          <w:highlight w:val="yellow"/>
        </w:rPr>
      </w:pPr>
      <w:r>
        <w:rPr>
          <w:rFonts w:hint="eastAsia" w:ascii="微软雅黑" w:hAnsi="微软雅黑" w:eastAsia="微软雅黑" w:cs="微软雅黑"/>
          <w:b w:val="0"/>
          <w:bCs/>
          <w:color w:val="000000"/>
          <w:sz w:val="20"/>
          <w:szCs w:val="20"/>
        </w:rPr>
        <w:t>二、网络交友打赏型直播诈骗犯罪的行为概述</w:t>
      </w:r>
    </w:p>
    <w:p w14:paraId="43254A76">
      <w:pPr>
        <w:pStyle w:val="3"/>
        <w:spacing w:before="120" w:after="120" w:line="280" w:lineRule="exact"/>
        <w:rPr>
          <w:rFonts w:hint="eastAsia" w:ascii="微软雅黑" w:hAnsi="微软雅黑" w:eastAsia="微软雅黑" w:cs="微软雅黑"/>
          <w:b w:val="0"/>
          <w:bCs/>
          <w:color w:val="000000"/>
          <w:sz w:val="20"/>
          <w:szCs w:val="20"/>
        </w:rPr>
      </w:pPr>
      <w:r>
        <w:rPr>
          <w:rFonts w:hint="eastAsia" w:ascii="微软雅黑" w:hAnsi="微软雅黑" w:eastAsia="微软雅黑" w:cs="微软雅黑"/>
          <w:b w:val="0"/>
          <w:bCs/>
          <w:color w:val="000000"/>
          <w:sz w:val="20"/>
          <w:szCs w:val="20"/>
        </w:rPr>
        <w:t>（一）概念界定与总体态势</w:t>
      </w:r>
    </w:p>
    <w:p w14:paraId="71A2C4E8">
      <w:pPr>
        <w:spacing w:line="280" w:lineRule="exact"/>
        <w:ind w:firstLine="400" w:firstLineChars="200"/>
        <w:rPr>
          <w:rFonts w:asciiTheme="majorEastAsia" w:hAnsiTheme="majorEastAsia" w:eastAsiaTheme="majorEastAsia" w:cstheme="majorEastAsia"/>
          <w:sz w:val="20"/>
          <w:szCs w:val="20"/>
        </w:rPr>
      </w:pPr>
      <w:r>
        <w:rPr>
          <w:rFonts w:eastAsia="宋体"/>
          <w:color w:val="000000"/>
          <w:sz w:val="20"/>
        </w:rPr>
        <w:t>网络交友打赏型直播诈骗，是指行为人（通常为网络直播主播或其关联人员）以网络交友为名，利用网络直播平台，通过虚构事实、隐瞒真相的方法，诱导网络用户产生错误认识，进而在直播平台购买虚拟货币兑换虚拟礼物进行打赏，从而骗取用户财物的违法犯罪行为。据中国互联网络信息中心发布的第56次《中国互联网络发展状况统计报告》显示，截至2025年6月，我国网民规模达11.23亿人，网络直播用户规模达8.33亿人，占网民总数的75.2%，主播账号总量突破1.8亿个。庞大的用户基础在为直播行业创造巨大市场价值的同时，也为不法分子实施诈骗提供了可乘之机。从司法数据看，2024年全国检察机关共起诉电信网络诈骗犯罪7.8万人，同比上升53.9%，其中网络交友诱导类诈骗案件占比超过30%；2025年全国公安机关共侦破电信网络诈骗案件25.8万起，其中网络交友打赏类诈骗案件占比约22%。在中国裁判文书网以“直播打赏+诈骗+交友”为关键词检索，2021—2025年共获取一审判决书726份，经筛选去重后得到有效案例312份，2022—2024年系该类犯罪的高发期。</w:t>
      </w:r>
    </w:p>
    <w:p w14:paraId="7352B343">
      <w:pPr>
        <w:pStyle w:val="3"/>
        <w:spacing w:before="120" w:after="120" w:line="280" w:lineRule="exact"/>
        <w:rPr>
          <w:rFonts w:hint="eastAsia" w:ascii="微软雅黑" w:hAnsi="微软雅黑" w:eastAsia="微软雅黑" w:cs="微软雅黑"/>
          <w:b w:val="0"/>
          <w:bCs/>
          <w:color w:val="000000"/>
          <w:sz w:val="20"/>
          <w:szCs w:val="20"/>
          <w:lang w:val="en-US" w:eastAsia="zh-CN"/>
        </w:rPr>
      </w:pPr>
      <w:r>
        <w:rPr>
          <w:rFonts w:hint="eastAsia" w:ascii="微软雅黑" w:hAnsi="微软雅黑" w:eastAsia="微软雅黑" w:cs="微软雅黑"/>
          <w:b w:val="0"/>
          <w:bCs/>
          <w:color w:val="000000"/>
          <w:sz w:val="20"/>
          <w:szCs w:val="20"/>
          <w:lang w:val="en-US" w:eastAsia="zh-CN"/>
        </w:rPr>
        <w:t>（二）行为特征</w:t>
      </w:r>
    </w:p>
    <w:p w14:paraId="78270BE8">
      <w:pPr>
        <w:spacing w:line="280" w:lineRule="exact"/>
        <w:ind w:firstLine="400" w:firstLineChars="200"/>
        <w:rPr>
          <w:rFonts w:ascii="Times New Roman Regular" w:hAnsi="Times New Roman Regular" w:cs="Times New Roman Regular" w:eastAsiaTheme="majorEastAsia"/>
          <w:sz w:val="20"/>
          <w:szCs w:val="20"/>
        </w:rPr>
      </w:pPr>
      <w:r>
        <w:rPr>
          <w:rFonts w:ascii="Times New Roman Regular" w:hAnsi="Times New Roman Regular" w:cs="Times New Roman Regular" w:eastAsiaTheme="majorEastAsia"/>
          <w:color w:val="000000"/>
          <w:sz w:val="20"/>
          <w:szCs w:val="20"/>
        </w:rPr>
        <w:t>网络交友打赏型直播诈骗兼具情感操控性与场景隐蔽性，形成五大关键行为特征：一是目标画像精准化，犯罪分子依托直播平台与社交平台的双重数据维度，综合受害人的观看时长、历史打赏金额、消费偏好等指标交叉分析，精准划分高潜力打赏对象；二是信任构建体系化，搭建“直播间公开互动+私域深度陪伴”的双层信任体系，在持续情感渗透中形成情感依赖；三是交互剧本精细化，团伙建立分级脚本库，以“身世可怜+努力上进+情感专一”的人设剧本实施标准化诈骗；四是诈骗载体场景化，以“正规直播平台引流+私域社交平台榨取”的双场景嵌套模式规避监管；五是资金流转隐蔽化，资金经平台分账、公会分成、多级账户分流、跑分平台洗白等多层级流转，司法追踪与追赃难度极大。</w:t>
      </w:r>
    </w:p>
    <w:p w14:paraId="2706D06B">
      <w:pPr>
        <w:pStyle w:val="3"/>
        <w:spacing w:before="120" w:after="120" w:line="280" w:lineRule="exact"/>
        <w:rPr>
          <w:rFonts w:hint="eastAsia" w:ascii="微软雅黑" w:hAnsi="微软雅黑" w:eastAsia="微软雅黑" w:cs="微软雅黑"/>
          <w:b w:val="0"/>
          <w:bCs/>
          <w:color w:val="000000"/>
          <w:sz w:val="20"/>
          <w:szCs w:val="20"/>
          <w:lang w:val="en-US" w:eastAsia="zh-CN"/>
        </w:rPr>
      </w:pPr>
      <w:r>
        <w:rPr>
          <w:rFonts w:hint="eastAsia" w:ascii="微软雅黑" w:hAnsi="微软雅黑" w:eastAsia="微软雅黑" w:cs="微软雅黑"/>
          <w:b w:val="0"/>
          <w:bCs/>
          <w:color w:val="000000"/>
          <w:sz w:val="20"/>
          <w:szCs w:val="20"/>
          <w:lang w:val="en-US" w:eastAsia="zh-CN"/>
        </w:rPr>
        <w:t xml:space="preserve">（三）行为类型 </w:t>
      </w:r>
    </w:p>
    <w:p w14:paraId="0100B181">
      <w:pPr>
        <w:keepNext w:val="0"/>
        <w:keepLines w:val="0"/>
        <w:pageBreakBefore w:val="0"/>
        <w:widowControl/>
        <w:suppressLineNumbers w:val="0"/>
        <w:kinsoku/>
        <w:wordWrap/>
        <w:overflowPunct/>
        <w:topLinePunct w:val="0"/>
        <w:autoSpaceDE/>
        <w:autoSpaceDN/>
        <w:bidi w:val="0"/>
        <w:adjustRightInd/>
        <w:snapToGrid/>
        <w:ind w:firstLine="400" w:firstLineChars="200"/>
        <w:jc w:val="left"/>
        <w:textAlignment w:val="auto"/>
        <w:rPr>
          <w:rFonts w:ascii="Times New Roman Regular" w:hAnsi="Times New Roman Regular" w:cs="Times New Roman Regular" w:eastAsiaTheme="majorEastAsia"/>
          <w:color w:val="000000"/>
          <w:sz w:val="20"/>
          <w:szCs w:val="20"/>
        </w:rPr>
      </w:pPr>
      <w:r>
        <w:rPr>
          <w:rFonts w:ascii="Times New Roman Regular" w:hAnsi="Times New Roman Regular" w:cs="Times New Roman Regular" w:eastAsiaTheme="majorEastAsia"/>
          <w:color w:val="000000"/>
          <w:sz w:val="20"/>
          <w:szCs w:val="20"/>
        </w:rPr>
        <w:t>按照打赏诱导方式与作案场景的不同，可将其划分为返利打赏型、内部福利型、情感索要型以及复合型与演化型四种主要类型，其核心手法与法律认定难点如表1所示。不同类型的诈骗行为手段虽有侧重，但本质上均系对受害人情感信任与财产权益的双重侵害，民商法中的身份确认、财产处分、网络平台义务、赠与合同瑕疵、不当得利返还等问题，必须依靠类型化分析和规则重塑，才能构建起适应当下诈骗行为特征的责任认定体系。</w:t>
      </w:r>
    </w:p>
    <w:p w14:paraId="0D00C044">
      <w:pPr>
        <w:spacing w:line="280" w:lineRule="exact"/>
        <w:ind w:firstLine="400" w:firstLineChars="200"/>
        <w:jc w:val="center"/>
        <w:rPr>
          <w:rFonts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z w:val="20"/>
          <w:szCs w:val="20"/>
        </w:rPr>
        <w:t>表1 网络交友打赏型直播诈骗犯罪的行为类型</w:t>
      </w:r>
    </w:p>
    <w:tbl>
      <w:tblPr>
        <w:tblStyle w:val="8"/>
        <w:tblW w:w="4280" w:type="pct"/>
        <w:jc w:val="center"/>
        <w:tblLayout w:type="autofit"/>
        <w:tblCellMar>
          <w:top w:w="0" w:type="dxa"/>
          <w:left w:w="108" w:type="dxa"/>
          <w:bottom w:w="0" w:type="dxa"/>
          <w:right w:w="108" w:type="dxa"/>
        </w:tblCellMar>
      </w:tblPr>
      <w:tblGrid>
        <w:gridCol w:w="1871"/>
        <w:gridCol w:w="3069"/>
        <w:gridCol w:w="3587"/>
      </w:tblGrid>
      <w:tr w14:paraId="3D1C5DCF">
        <w:tblPrEx>
          <w:tblCellMar>
            <w:top w:w="0" w:type="dxa"/>
            <w:left w:w="108" w:type="dxa"/>
            <w:bottom w:w="0" w:type="dxa"/>
            <w:right w:w="108" w:type="dxa"/>
          </w:tblCellMar>
        </w:tblPrEx>
        <w:trPr>
          <w:trHeight w:val="23" w:hRule="atLeast"/>
          <w:jc w:val="center"/>
        </w:trPr>
        <w:tc>
          <w:tcPr>
            <w:tcW w:w="1097" w:type="pct"/>
            <w:tcBorders>
              <w:top w:val="single" w:color="000000" w:sz="12" w:space="0"/>
              <w:left w:val="nil"/>
              <w:bottom w:val="single" w:color="000000" w:sz="4" w:space="0"/>
              <w:right w:val="nil"/>
              <w:tl2br w:val="nil"/>
            </w:tcBorders>
            <w:shd w:val="clear" w:color="auto" w:fill="FFFFFF"/>
            <w:vAlign w:val="center"/>
          </w:tcPr>
          <w:p w14:paraId="70DCA347">
            <w:pPr>
              <w:widowControl/>
              <w:spacing w:line="280" w:lineRule="exact"/>
              <w:jc w:val="center"/>
              <w:textAlignment w:val="center"/>
              <w:rPr>
                <w:rFonts w:asciiTheme="majorEastAsia" w:hAnsiTheme="majorEastAsia" w:eastAsiaTheme="majorEastAsia" w:cstheme="majorEastAsia"/>
                <w:b/>
                <w:color w:val="000000"/>
                <w:sz w:val="20"/>
                <w:szCs w:val="20"/>
              </w:rPr>
            </w:pPr>
            <w:r>
              <w:rPr>
                <w:rFonts w:hint="eastAsia" w:asciiTheme="majorEastAsia" w:hAnsiTheme="majorEastAsia" w:eastAsiaTheme="majorEastAsia" w:cstheme="majorEastAsia"/>
                <w:b/>
                <w:color w:val="000000"/>
                <w:kern w:val="0"/>
                <w:sz w:val="20"/>
                <w:szCs w:val="20"/>
                <w:lang w:bidi="ar"/>
              </w:rPr>
              <w:t>类型</w:t>
            </w:r>
          </w:p>
        </w:tc>
        <w:tc>
          <w:tcPr>
            <w:tcW w:w="1799" w:type="pct"/>
            <w:tcBorders>
              <w:top w:val="single" w:color="000000" w:sz="12" w:space="0"/>
              <w:left w:val="nil"/>
              <w:bottom w:val="single" w:color="000000" w:sz="4" w:space="0"/>
              <w:right w:val="nil"/>
            </w:tcBorders>
            <w:shd w:val="clear" w:color="auto" w:fill="FFFFFF"/>
            <w:vAlign w:val="center"/>
          </w:tcPr>
          <w:p w14:paraId="5B70CBEF">
            <w:pPr>
              <w:widowControl/>
              <w:spacing w:line="280" w:lineRule="exact"/>
              <w:jc w:val="center"/>
              <w:textAlignment w:val="center"/>
              <w:rPr>
                <w:rFonts w:asciiTheme="majorEastAsia" w:hAnsiTheme="majorEastAsia" w:eastAsiaTheme="majorEastAsia" w:cstheme="majorEastAsia"/>
                <w:b/>
                <w:color w:val="000000"/>
                <w:sz w:val="20"/>
                <w:szCs w:val="20"/>
              </w:rPr>
            </w:pPr>
            <w:r>
              <w:rPr>
                <w:rFonts w:hint="eastAsia" w:asciiTheme="majorEastAsia" w:hAnsiTheme="majorEastAsia" w:eastAsiaTheme="majorEastAsia" w:cstheme="majorEastAsia"/>
                <w:b/>
                <w:color w:val="000000"/>
                <w:kern w:val="0"/>
                <w:sz w:val="20"/>
                <w:szCs w:val="20"/>
                <w:lang w:bidi="ar"/>
              </w:rPr>
              <w:t>核心手法</w:t>
            </w:r>
          </w:p>
        </w:tc>
        <w:tc>
          <w:tcPr>
            <w:tcW w:w="2103" w:type="pct"/>
            <w:tcBorders>
              <w:top w:val="single" w:color="000000" w:sz="12" w:space="0"/>
              <w:left w:val="nil"/>
              <w:bottom w:val="single" w:color="000000" w:sz="4" w:space="0"/>
              <w:right w:val="nil"/>
            </w:tcBorders>
            <w:shd w:val="clear" w:color="auto" w:fill="FFFFFF"/>
            <w:vAlign w:val="center"/>
          </w:tcPr>
          <w:p w14:paraId="114C7475">
            <w:pPr>
              <w:widowControl/>
              <w:spacing w:line="280" w:lineRule="exact"/>
              <w:ind w:firstLine="402" w:firstLineChars="200"/>
              <w:jc w:val="center"/>
              <w:textAlignment w:val="center"/>
              <w:rPr>
                <w:rFonts w:asciiTheme="majorEastAsia" w:hAnsiTheme="majorEastAsia" w:eastAsiaTheme="majorEastAsia" w:cstheme="majorEastAsia"/>
                <w:b/>
                <w:color w:val="000000"/>
                <w:sz w:val="20"/>
                <w:szCs w:val="20"/>
              </w:rPr>
            </w:pPr>
            <w:r>
              <w:rPr>
                <w:rFonts w:hint="eastAsia" w:asciiTheme="majorEastAsia" w:hAnsiTheme="majorEastAsia" w:eastAsiaTheme="majorEastAsia" w:cstheme="majorEastAsia"/>
                <w:b/>
                <w:color w:val="000000"/>
                <w:kern w:val="0"/>
                <w:sz w:val="20"/>
                <w:szCs w:val="20"/>
                <w:lang w:bidi="ar"/>
              </w:rPr>
              <w:t>法律认定难点</w:t>
            </w:r>
          </w:p>
        </w:tc>
      </w:tr>
      <w:tr w14:paraId="33C441EA">
        <w:tblPrEx>
          <w:tblCellMar>
            <w:top w:w="0" w:type="dxa"/>
            <w:left w:w="108" w:type="dxa"/>
            <w:bottom w:w="0" w:type="dxa"/>
            <w:right w:w="108" w:type="dxa"/>
          </w:tblCellMar>
        </w:tblPrEx>
        <w:trPr>
          <w:trHeight w:val="23" w:hRule="atLeast"/>
          <w:jc w:val="center"/>
        </w:trPr>
        <w:tc>
          <w:tcPr>
            <w:tcW w:w="1097" w:type="pct"/>
            <w:tcBorders>
              <w:top w:val="single" w:color="000000" w:sz="4" w:space="0"/>
              <w:left w:val="nil"/>
              <w:bottom w:val="nil"/>
              <w:right w:val="nil"/>
            </w:tcBorders>
            <w:shd w:val="clear" w:color="auto" w:fill="FFFFFF"/>
            <w:vAlign w:val="center"/>
          </w:tcPr>
          <w:p w14:paraId="0447959C">
            <w:pPr>
              <w:widowControl/>
              <w:spacing w:line="280" w:lineRule="exact"/>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highlight w:val="none"/>
                <w:shd w:val="clear"/>
                <w:lang w:bidi="ar"/>
              </w:rPr>
              <w:t>返利打赏型</w:t>
            </w:r>
          </w:p>
        </w:tc>
        <w:tc>
          <w:tcPr>
            <w:tcW w:w="1799" w:type="pct"/>
            <w:tcBorders>
              <w:top w:val="single" w:color="000000" w:sz="4" w:space="0"/>
              <w:left w:val="nil"/>
              <w:bottom w:val="nil"/>
              <w:right w:val="nil"/>
            </w:tcBorders>
            <w:shd w:val="clear" w:color="auto" w:fill="FFFFFF"/>
            <w:vAlign w:val="center"/>
          </w:tcPr>
          <w:p w14:paraId="4943391E">
            <w:pPr>
              <w:widowControl/>
              <w:spacing w:line="280" w:lineRule="exact"/>
              <w:jc w:val="center"/>
              <w:textAlignment w:val="center"/>
              <w:rPr>
                <w:rFonts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以“冲榜返现”“节日返利”等承诺高额返利诱导打赏，初期以小额返利骗取信任</w:t>
            </w:r>
          </w:p>
        </w:tc>
        <w:tc>
          <w:tcPr>
            <w:tcW w:w="2103" w:type="pct"/>
            <w:tcBorders>
              <w:top w:val="single" w:color="000000" w:sz="4" w:space="0"/>
              <w:left w:val="nil"/>
              <w:bottom w:val="nil"/>
              <w:right w:val="nil"/>
            </w:tcBorders>
            <w:shd w:val="clear" w:color="auto" w:fill="FFFFFF"/>
            <w:vAlign w:val="center"/>
          </w:tcPr>
          <w:p w14:paraId="32F31DA0">
            <w:pPr>
              <w:widowControl/>
              <w:spacing w:line="280" w:lineRule="exact"/>
              <w:ind w:firstLine="400" w:firstLineChars="200"/>
              <w:jc w:val="center"/>
              <w:textAlignment w:val="center"/>
              <w:rPr>
                <w:rFonts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color w:val="000000"/>
                <w:sz w:val="20"/>
                <w:szCs w:val="20"/>
                <w:highlight w:val="none"/>
              </w:rPr>
              <w:t>打赏行为“真实意思表示”认定困难，财产返还路径模糊</w:t>
            </w:r>
          </w:p>
        </w:tc>
      </w:tr>
      <w:tr w14:paraId="4E9BE124">
        <w:tblPrEx>
          <w:tblCellMar>
            <w:top w:w="0" w:type="dxa"/>
            <w:left w:w="108" w:type="dxa"/>
            <w:bottom w:w="0" w:type="dxa"/>
            <w:right w:w="108" w:type="dxa"/>
          </w:tblCellMar>
        </w:tblPrEx>
        <w:trPr>
          <w:trHeight w:val="23" w:hRule="atLeast"/>
          <w:jc w:val="center"/>
        </w:trPr>
        <w:tc>
          <w:tcPr>
            <w:tcW w:w="1097" w:type="pct"/>
            <w:tcBorders>
              <w:top w:val="nil"/>
              <w:left w:val="nil"/>
              <w:bottom w:val="nil"/>
              <w:right w:val="nil"/>
            </w:tcBorders>
            <w:shd w:val="clear" w:color="auto" w:fill="FFFFFF"/>
            <w:vAlign w:val="center"/>
          </w:tcPr>
          <w:p w14:paraId="0B219018">
            <w:pPr>
              <w:widowControl/>
              <w:spacing w:line="280" w:lineRule="exact"/>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lang w:bidi="ar"/>
              </w:rPr>
              <w:t>内部福利型</w:t>
            </w:r>
          </w:p>
        </w:tc>
        <w:tc>
          <w:tcPr>
            <w:tcW w:w="1799" w:type="pct"/>
            <w:tcBorders>
              <w:top w:val="nil"/>
              <w:left w:val="nil"/>
              <w:bottom w:val="nil"/>
              <w:right w:val="nil"/>
            </w:tcBorders>
            <w:shd w:val="clear" w:color="auto" w:fill="FFFFFF"/>
            <w:vAlign w:val="center"/>
          </w:tcPr>
          <w:p w14:paraId="21A19348">
            <w:pPr>
              <w:widowControl/>
              <w:spacing w:line="280" w:lineRule="exact"/>
              <w:jc w:val="center"/>
              <w:textAlignment w:val="center"/>
              <w:rPr>
                <w:rFonts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冒充平台内部人员，以“内部打赏通道”“系统漏洞套利”等名义诱骗转账</w:t>
            </w:r>
          </w:p>
        </w:tc>
        <w:tc>
          <w:tcPr>
            <w:tcW w:w="2103" w:type="pct"/>
            <w:tcBorders>
              <w:top w:val="nil"/>
              <w:left w:val="nil"/>
              <w:bottom w:val="nil"/>
              <w:right w:val="nil"/>
            </w:tcBorders>
            <w:shd w:val="clear" w:color="auto" w:fill="FFFFFF"/>
            <w:vAlign w:val="center"/>
          </w:tcPr>
          <w:p w14:paraId="4E9BEB3A">
            <w:pPr>
              <w:widowControl/>
              <w:spacing w:line="280" w:lineRule="exact"/>
              <w:ind w:firstLine="400" w:firstLineChars="200"/>
              <w:jc w:val="center"/>
              <w:textAlignment w:val="center"/>
              <w:rPr>
                <w:rFonts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平台安全保障义务与信息真实性审核责任难以界定</w:t>
            </w:r>
          </w:p>
        </w:tc>
      </w:tr>
      <w:tr w14:paraId="0AD896C0">
        <w:tblPrEx>
          <w:tblCellMar>
            <w:top w:w="0" w:type="dxa"/>
            <w:left w:w="108" w:type="dxa"/>
            <w:bottom w:w="0" w:type="dxa"/>
            <w:right w:w="108" w:type="dxa"/>
          </w:tblCellMar>
        </w:tblPrEx>
        <w:trPr>
          <w:trHeight w:val="23" w:hRule="atLeast"/>
          <w:jc w:val="center"/>
        </w:trPr>
        <w:tc>
          <w:tcPr>
            <w:tcW w:w="1097" w:type="pct"/>
            <w:tcBorders>
              <w:top w:val="nil"/>
              <w:left w:val="nil"/>
              <w:right w:val="nil"/>
            </w:tcBorders>
            <w:shd w:val="clear" w:color="auto" w:fill="FFFFFF"/>
            <w:vAlign w:val="center"/>
          </w:tcPr>
          <w:p w14:paraId="4D191072">
            <w:pPr>
              <w:widowControl/>
              <w:spacing w:line="280" w:lineRule="exact"/>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lang w:bidi="ar"/>
              </w:rPr>
              <w:t>情感索要型</w:t>
            </w:r>
          </w:p>
        </w:tc>
        <w:tc>
          <w:tcPr>
            <w:tcW w:w="1799" w:type="pct"/>
            <w:tcBorders>
              <w:top w:val="nil"/>
              <w:left w:val="nil"/>
              <w:right w:val="nil"/>
            </w:tcBorders>
            <w:shd w:val="clear" w:color="auto" w:fill="FFFFFF"/>
            <w:vAlign w:val="center"/>
          </w:tcPr>
          <w:p w14:paraId="5598D49B">
            <w:pPr>
              <w:widowControl/>
              <w:spacing w:line="280" w:lineRule="exact"/>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lang w:bidi="ar"/>
              </w:rPr>
              <w:t>以虚假恋爱关系为依托，以家人生病、解约违约金等理由频繁索财</w:t>
            </w:r>
          </w:p>
        </w:tc>
        <w:tc>
          <w:tcPr>
            <w:tcW w:w="2103" w:type="pct"/>
            <w:tcBorders>
              <w:top w:val="nil"/>
              <w:left w:val="nil"/>
              <w:right w:val="nil"/>
            </w:tcBorders>
            <w:shd w:val="clear" w:color="auto" w:fill="FFFFFF"/>
            <w:vAlign w:val="center"/>
          </w:tcPr>
          <w:p w14:paraId="63212D6D">
            <w:pPr>
              <w:widowControl/>
              <w:spacing w:line="280" w:lineRule="exact"/>
              <w:ind w:firstLine="400" w:firstLineChars="200"/>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lang w:bidi="ar"/>
              </w:rPr>
              <w:t>情感欺诈与民事赠与的法律边界难以划定，举证困难</w:t>
            </w:r>
          </w:p>
        </w:tc>
      </w:tr>
      <w:tr w14:paraId="4D515A7C">
        <w:tblPrEx>
          <w:tblCellMar>
            <w:top w:w="0" w:type="dxa"/>
            <w:left w:w="108" w:type="dxa"/>
            <w:bottom w:w="0" w:type="dxa"/>
            <w:right w:w="108" w:type="dxa"/>
          </w:tblCellMar>
        </w:tblPrEx>
        <w:trPr>
          <w:trHeight w:val="23" w:hRule="atLeast"/>
          <w:jc w:val="center"/>
        </w:trPr>
        <w:tc>
          <w:tcPr>
            <w:tcW w:w="1097" w:type="pct"/>
            <w:tcBorders>
              <w:top w:val="nil"/>
              <w:left w:val="nil"/>
              <w:bottom w:val="single" w:color="000000" w:sz="12" w:space="0"/>
              <w:right w:val="nil"/>
            </w:tcBorders>
            <w:shd w:val="clear" w:color="auto" w:fill="FFFFFF"/>
            <w:vAlign w:val="center"/>
          </w:tcPr>
          <w:p w14:paraId="4B915456">
            <w:pPr>
              <w:widowControl/>
              <w:spacing w:line="280" w:lineRule="exact"/>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lang w:bidi="ar"/>
              </w:rPr>
              <w:t>复合型与演化型</w:t>
            </w:r>
          </w:p>
        </w:tc>
        <w:tc>
          <w:tcPr>
            <w:tcW w:w="1799" w:type="pct"/>
            <w:tcBorders>
              <w:top w:val="nil"/>
              <w:left w:val="nil"/>
              <w:bottom w:val="single" w:color="000000" w:sz="12" w:space="0"/>
              <w:right w:val="nil"/>
            </w:tcBorders>
            <w:shd w:val="clear" w:color="auto" w:fill="FFFFFF"/>
            <w:vAlign w:val="center"/>
          </w:tcPr>
          <w:p w14:paraId="03375881">
            <w:pPr>
              <w:widowControl/>
              <w:spacing w:line="280" w:lineRule="exact"/>
              <w:jc w:val="center"/>
              <w:textAlignment w:val="center"/>
              <w:rPr>
                <w:rFonts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多类型融合、多角色协同，借助技术手段实施复合诈骗</w:t>
            </w:r>
          </w:p>
        </w:tc>
        <w:tc>
          <w:tcPr>
            <w:tcW w:w="2103" w:type="pct"/>
            <w:tcBorders>
              <w:top w:val="nil"/>
              <w:left w:val="nil"/>
              <w:bottom w:val="single" w:color="000000" w:sz="12" w:space="0"/>
              <w:right w:val="nil"/>
            </w:tcBorders>
            <w:shd w:val="clear" w:color="auto" w:fill="FFFFFF"/>
            <w:vAlign w:val="center"/>
          </w:tcPr>
          <w:p w14:paraId="2178014D">
            <w:pPr>
              <w:widowControl/>
              <w:spacing w:line="280" w:lineRule="exact"/>
              <w:ind w:firstLine="400" w:firstLineChars="200"/>
              <w:jc w:val="center"/>
              <w:textAlignment w:val="center"/>
              <w:rPr>
                <w:rFonts w:asciiTheme="majorEastAsia" w:hAnsiTheme="majorEastAsia" w:eastAsiaTheme="majorEastAsia" w:cstheme="majorEastAsia"/>
                <w:color w:val="000000"/>
                <w:sz w:val="20"/>
                <w:szCs w:val="20"/>
                <w:highlight w:val="none"/>
              </w:rPr>
            </w:pPr>
            <w:r>
              <w:rPr>
                <w:rFonts w:hint="eastAsia" w:asciiTheme="majorEastAsia" w:hAnsiTheme="majorEastAsia" w:eastAsiaTheme="majorEastAsia" w:cstheme="majorEastAsia"/>
                <w:color w:val="000000"/>
                <w:kern w:val="0"/>
                <w:sz w:val="20"/>
                <w:szCs w:val="20"/>
                <w:highlight w:val="none"/>
                <w:lang w:bidi="ar"/>
              </w:rPr>
              <w:t>多重身份转换下责任主体认定与因果关系判断困难</w:t>
            </w:r>
          </w:p>
        </w:tc>
      </w:tr>
    </w:tbl>
    <w:p w14:paraId="5F33B849">
      <w:pPr>
        <w:pStyle w:val="3"/>
        <w:spacing w:before="120" w:after="120" w:line="280" w:lineRule="exact"/>
        <w:rPr>
          <w:rFonts w:ascii="微软雅黑" w:hAnsi="微软雅黑" w:eastAsia="微软雅黑" w:cs="微软雅黑"/>
          <w:sz w:val="20"/>
          <w:szCs w:val="20"/>
          <w:highlight w:val="yellow"/>
        </w:rPr>
      </w:pPr>
      <w:r>
        <w:rPr>
          <w:rFonts w:hint="eastAsia" w:ascii="微软雅黑" w:hAnsi="微软雅黑" w:eastAsia="微软雅黑" w:cs="微软雅黑"/>
          <w:b w:val="0"/>
          <w:bCs/>
          <w:color w:val="000000"/>
          <w:sz w:val="20"/>
          <w:szCs w:val="20"/>
        </w:rPr>
        <w:t>三、网络交友打赏型直播诈骗犯罪的成因分析</w:t>
      </w:r>
    </w:p>
    <w:p w14:paraId="20E3AF55">
      <w:pPr>
        <w:spacing w:line="280" w:lineRule="exact"/>
        <w:ind w:firstLine="400" w:firstLineChars="200"/>
        <w:rPr>
          <w:rFonts w:asciiTheme="majorEastAsia" w:hAnsiTheme="majorEastAsia" w:eastAsiaTheme="majorEastAsia" w:cstheme="majorEastAsia"/>
          <w:sz w:val="20"/>
          <w:szCs w:val="20"/>
        </w:rPr>
      </w:pPr>
      <w:r>
        <w:rPr>
          <w:rFonts w:eastAsia="宋体"/>
          <w:color w:val="000000"/>
          <w:sz w:val="20"/>
        </w:rPr>
        <w:t>网络交友打赏型直播诈骗的泛滥并非偶然，而是犯罪主体逐利性、被害人心理弱点、技术工具赋能、制度监管漏洞与法律规范滞后等多重因素共谋互动的结果。</w:t>
      </w:r>
    </w:p>
    <w:p w14:paraId="59A3BF7C">
      <w:pPr>
        <w:spacing w:line="280" w:lineRule="exact"/>
        <w:ind w:firstLine="400" w:firstLineChars="200"/>
        <w:rPr>
          <w:rFonts w:asciiTheme="majorEastAsia" w:hAnsiTheme="majorEastAsia" w:eastAsiaTheme="majorEastAsia" w:cstheme="majorEastAsia"/>
          <w:sz w:val="20"/>
          <w:szCs w:val="20"/>
        </w:rPr>
      </w:pPr>
      <w:r>
        <w:rPr>
          <w:rFonts w:eastAsia="宋体"/>
          <w:color w:val="000000"/>
          <w:sz w:val="20"/>
        </w:rPr>
        <w:t>在犯罪主体层面，犯罪组织产业化、集团化程度持续加深，团伙内设“引流组”“聊手部”“主播组”“技术组”“洗钱组”等专门部门，实现全流程标准化运作；作案手法专业化、剧本化特征明显，犯罪成本低、收益高，逐利动机强烈，犯罪窝点跨境化趋势日益凸显。在被害人层面，信任幻觉与情绪依赖、沉没成本与自我否认、羞耻文化与二次伤害等心理弱点被犯罪团伙精准利用，成为诈骗得逞的关键支点。</w:t>
      </w:r>
    </w:p>
    <w:p w14:paraId="3B64CE8F">
      <w:pPr>
        <w:spacing w:line="280" w:lineRule="exact"/>
        <w:ind w:firstLine="400" w:firstLineChars="200"/>
        <w:rPr>
          <w:rFonts w:asciiTheme="majorEastAsia" w:hAnsiTheme="majorEastAsia" w:eastAsiaTheme="majorEastAsia" w:cstheme="majorEastAsia"/>
          <w:sz w:val="20"/>
          <w:szCs w:val="20"/>
        </w:rPr>
      </w:pPr>
      <w:r>
        <w:rPr>
          <w:rFonts w:eastAsia="宋体"/>
          <w:color w:val="000000"/>
          <w:sz w:val="20"/>
        </w:rPr>
        <w:t>在技术层面，用户信息获取技术的滥用、身份伪装技术的不断升级、平台规避技术的持续迭代与资金转移技术的隐蔽化，极</w:t>
      </w:r>
      <w:r>
        <w:rPr>
          <w:rFonts w:hint="eastAsia" w:eastAsia="宋体"/>
          <w:color w:val="000000"/>
          <w:sz w:val="20"/>
          <w:lang w:val="en-US" w:eastAsia="zh-CN"/>
        </w:rPr>
        <w:t>大</w:t>
      </w:r>
      <w:r>
        <w:rPr>
          <w:rFonts w:eastAsia="宋体"/>
          <w:color w:val="000000"/>
          <w:sz w:val="20"/>
        </w:rPr>
        <w:t>降低了犯罪门槛、提高了犯罪的隐蔽性与危害性。在制度与监管层面，信息审核制度存在薄弱环节，交易监管机制不健全，平台主体责任落实不到位，跨部门协同监管机制不完善。在法律层面，诈骗行为法律认定存在模糊性，平台责任规则不明确，刑民衔接不畅与追赃挽损困难，法律规范滞后于犯罪发展，均构成制度性短板。</w:t>
      </w:r>
    </w:p>
    <w:p w14:paraId="61F483BA">
      <w:pPr>
        <w:pStyle w:val="3"/>
        <w:spacing w:before="120" w:after="120" w:line="280" w:lineRule="exact"/>
        <w:rPr>
          <w:rFonts w:ascii="微软雅黑" w:hAnsi="微软雅黑" w:eastAsia="微软雅黑" w:cs="微软雅黑"/>
          <w:sz w:val="20"/>
          <w:szCs w:val="20"/>
          <w:highlight w:val="yellow"/>
        </w:rPr>
      </w:pPr>
      <w:r>
        <w:rPr>
          <w:rFonts w:hint="eastAsia" w:ascii="微软雅黑" w:hAnsi="微软雅黑" w:eastAsia="微软雅黑" w:cs="微软雅黑"/>
          <w:b w:val="0"/>
          <w:bCs/>
          <w:color w:val="000000"/>
          <w:sz w:val="20"/>
          <w:szCs w:val="20"/>
        </w:rPr>
        <w:t>四、当前我国网络交友打赏型直播诈骗犯罪的治理成效与困境</w:t>
      </w:r>
    </w:p>
    <w:p w14:paraId="4C718B6C">
      <w:pPr>
        <w:pStyle w:val="3"/>
        <w:spacing w:before="120" w:after="120" w:line="280" w:lineRule="exact"/>
        <w:rPr>
          <w:rFonts w:hint="eastAsia" w:ascii="微软雅黑" w:hAnsi="微软雅黑" w:eastAsia="微软雅黑" w:cs="微软雅黑"/>
          <w:b w:val="0"/>
          <w:bCs/>
          <w:color w:val="000000"/>
          <w:sz w:val="20"/>
          <w:szCs w:val="20"/>
        </w:rPr>
      </w:pPr>
      <w:r>
        <w:rPr>
          <w:rFonts w:hint="eastAsia" w:ascii="微软雅黑" w:hAnsi="微软雅黑" w:eastAsia="微软雅黑" w:cs="微软雅黑"/>
          <w:b w:val="0"/>
          <w:bCs/>
          <w:color w:val="000000"/>
          <w:sz w:val="20"/>
          <w:szCs w:val="20"/>
        </w:rPr>
        <w:t>（一）治理成效</w:t>
      </w:r>
    </w:p>
    <w:p w14:paraId="002417D3">
      <w:pPr>
        <w:spacing w:line="280" w:lineRule="exact"/>
        <w:ind w:firstLine="400" w:firstLineChars="200"/>
        <w:rPr>
          <w:rFonts w:eastAsia="宋体"/>
          <w:color w:val="000000"/>
          <w:sz w:val="20"/>
        </w:rPr>
      </w:pPr>
      <w:r>
        <w:rPr>
          <w:rFonts w:eastAsia="宋体"/>
          <w:color w:val="000000"/>
          <w:sz w:val="20"/>
        </w:rPr>
        <w:t>针对此类犯罪情感操控性强、场景隐蔽性高、产业链条完整的特点，我国构建了“法律规制+技术防控+专项打击+行业共治”四位一体的综合治理体系，取得阶段性显著成效。</w:t>
      </w:r>
    </w:p>
    <w:p w14:paraId="6A3ECEF5">
      <w:pPr>
        <w:spacing w:line="280" w:lineRule="exact"/>
        <w:ind w:firstLine="400" w:firstLineChars="200"/>
        <w:rPr>
          <w:rFonts w:eastAsia="宋体"/>
          <w:color w:val="000000"/>
          <w:sz w:val="20"/>
        </w:rPr>
      </w:pPr>
      <w:r>
        <w:rPr>
          <w:rFonts w:eastAsia="宋体"/>
          <w:color w:val="000000"/>
          <w:sz w:val="20"/>
        </w:rPr>
        <w:t>在法律规制层面，《中华人民共和国反电信网络诈骗法》于2022年12月1日施行，首次将“以婚恋交友为名诱导他人转账、打赏”明确列为电信网络诈骗的典型行为类型，确立了平台主体责任、个人信息保护、资金链管控等核心制度；《网络主播行为规范》明确禁止主播“以暗示、诱惑、胁迫等方式诱导用户打赏”；《网络直播营销管理办法（试行）》要求平台对“情感连麦”“PK打赏”等高风险环节建立专门管理制度。</w:t>
      </w:r>
    </w:p>
    <w:p w14:paraId="5E712D8C">
      <w:pPr>
        <w:spacing w:line="280" w:lineRule="exact"/>
        <w:ind w:firstLine="400" w:firstLineChars="200"/>
        <w:rPr>
          <w:rFonts w:eastAsia="宋体"/>
          <w:color w:val="000000"/>
          <w:sz w:val="20"/>
        </w:rPr>
      </w:pPr>
      <w:r>
        <w:rPr>
          <w:rFonts w:eastAsia="宋体"/>
          <w:color w:val="000000"/>
          <w:sz w:val="20"/>
        </w:rPr>
        <w:t>在技术防控层面，平台AI风控与国家反诈技术平台协同发力，2024年抖音全年主动拦截情感诱导类诈骗引流行为超过1.2亿次；国家反诈中心累计发送相关预警指令超过2.3亿条，公安机关累计见面劝阻潜在受害人580余万人次。</w:t>
      </w:r>
    </w:p>
    <w:p w14:paraId="5993412D">
      <w:pPr>
        <w:spacing w:line="280" w:lineRule="exact"/>
        <w:ind w:firstLine="400" w:firstLineChars="200"/>
        <w:rPr>
          <w:rFonts w:asciiTheme="majorEastAsia" w:hAnsiTheme="majorEastAsia" w:eastAsiaTheme="majorEastAsia" w:cstheme="majorEastAsia"/>
          <w:sz w:val="20"/>
          <w:szCs w:val="20"/>
        </w:rPr>
      </w:pPr>
      <w:r>
        <w:rPr>
          <w:rFonts w:eastAsia="宋体"/>
          <w:color w:val="000000"/>
          <w:sz w:val="20"/>
        </w:rPr>
        <w:t>在专项打击层面，2024年全国公安机关共破获网络交友打赏型诈骗案件3.2万起，抓获犯罪嫌疑人7.8万名，打掉犯罪团伙4500余个，挽回群众经济损失126亿元；自2023年7月以来，已有4.9万名电诈犯罪嫌疑人从缅北移交中方。</w:t>
      </w:r>
    </w:p>
    <w:p w14:paraId="1F0632B9">
      <w:pPr>
        <w:pStyle w:val="3"/>
        <w:spacing w:before="120" w:after="120" w:line="280" w:lineRule="exact"/>
        <w:rPr>
          <w:rFonts w:hint="eastAsia" w:ascii="微软雅黑" w:hAnsi="微软雅黑" w:eastAsia="微软雅黑" w:cs="微软雅黑"/>
          <w:b w:val="0"/>
          <w:bCs/>
          <w:color w:val="000000"/>
          <w:sz w:val="20"/>
          <w:szCs w:val="20"/>
        </w:rPr>
      </w:pPr>
      <w:r>
        <w:rPr>
          <w:rFonts w:hint="eastAsia" w:ascii="微软雅黑" w:hAnsi="微软雅黑" w:eastAsia="微软雅黑" w:cs="微软雅黑"/>
          <w:b w:val="0"/>
          <w:bCs/>
          <w:color w:val="000000"/>
          <w:sz w:val="20"/>
          <w:szCs w:val="20"/>
          <w:lang w:val="en-US" w:eastAsia="zh-CN"/>
        </w:rPr>
        <w:t>（二）</w:t>
      </w:r>
      <w:r>
        <w:rPr>
          <w:rFonts w:hint="eastAsia" w:ascii="微软雅黑" w:hAnsi="微软雅黑" w:eastAsia="微软雅黑" w:cs="微软雅黑"/>
          <w:b w:val="0"/>
          <w:bCs/>
          <w:color w:val="000000"/>
          <w:sz w:val="20"/>
          <w:szCs w:val="20"/>
        </w:rPr>
        <w:t>治理困境</w:t>
      </w:r>
    </w:p>
    <w:p w14:paraId="14505C20">
      <w:pPr>
        <w:numPr>
          <w:ilvl w:val="0"/>
          <w:numId w:val="0"/>
        </w:numPr>
        <w:spacing w:line="280" w:lineRule="exact"/>
        <w:ind w:firstLine="400" w:firstLineChars="200"/>
        <w:rPr>
          <w:rFonts w:eastAsia="宋体"/>
          <w:color w:val="000000"/>
          <w:sz w:val="20"/>
        </w:rPr>
      </w:pPr>
      <w:r>
        <w:rPr>
          <w:rFonts w:eastAsia="宋体"/>
          <w:color w:val="000000"/>
          <w:sz w:val="20"/>
        </w:rPr>
        <w:t>尽管治理成效初显，但此类犯罪依托数字生态的演化速度远超治理体系的迭代节奏，深层次治理困境日益凸显。</w:t>
      </w:r>
    </w:p>
    <w:p w14:paraId="7C5F7D34">
      <w:pPr>
        <w:numPr>
          <w:ilvl w:val="0"/>
          <w:numId w:val="0"/>
        </w:numPr>
        <w:spacing w:line="280" w:lineRule="exact"/>
        <w:ind w:firstLine="400" w:firstLineChars="200"/>
        <w:rPr>
          <w:rFonts w:eastAsia="宋体"/>
          <w:color w:val="000000"/>
          <w:sz w:val="20"/>
        </w:rPr>
      </w:pPr>
      <w:r>
        <w:rPr>
          <w:rFonts w:eastAsia="宋体"/>
          <w:color w:val="000000"/>
          <w:sz w:val="20"/>
        </w:rPr>
        <w:t>其一，刑事司法认定存在核心困境。情感伪装下非法占有目的难以证明，部分司法人员将情感欺骗理解为“道德问题”，将诈骗行为民事化处理；罪名竞合引发法律适用混乱，“同案不同判”现象突出</w:t>
      </w:r>
      <w:r>
        <w:rPr>
          <w:rFonts w:hint="default" w:ascii="Times New Roman" w:hAnsi="Times New Roman" w:eastAsia="宋体" w:cs="Times New Roman"/>
          <w:color w:val="000000"/>
          <w:kern w:val="0"/>
          <w:sz w:val="19"/>
          <w:szCs w:val="19"/>
          <w:vertAlign w:val="superscript"/>
          <w:lang w:val="en-US" w:eastAsia="zh-CN" w:bidi="ar"/>
        </w:rPr>
        <w:t>[</w:t>
      </w:r>
      <w:r>
        <w:rPr>
          <w:rFonts w:hint="eastAsia" w:eastAsia="宋体" w:cs="Times New Roman"/>
          <w:color w:val="000000"/>
          <w:kern w:val="0"/>
          <w:sz w:val="19"/>
          <w:szCs w:val="19"/>
          <w:vertAlign w:val="superscript"/>
          <w:lang w:val="en-US" w:eastAsia="zh-CN" w:bidi="ar"/>
        </w:rPr>
        <w:t>1</w:t>
      </w:r>
      <w:r>
        <w:rPr>
          <w:rFonts w:hint="default" w:ascii="Times New Roman" w:hAnsi="Times New Roman" w:eastAsia="宋体" w:cs="Times New Roman"/>
          <w:color w:val="000000"/>
          <w:kern w:val="0"/>
          <w:sz w:val="19"/>
          <w:szCs w:val="19"/>
          <w:vertAlign w:val="superscript"/>
          <w:lang w:val="en-US" w:eastAsia="zh-CN" w:bidi="ar"/>
        </w:rPr>
        <w:t>]</w:t>
      </w:r>
      <w:r>
        <w:rPr>
          <w:rFonts w:eastAsia="宋体"/>
          <w:color w:val="000000"/>
          <w:sz w:val="20"/>
        </w:rPr>
        <w:t>；电子证据易篡改、易灭失，受害人举证能力弱，证据采信标准难以达到。</w:t>
      </w:r>
    </w:p>
    <w:p w14:paraId="0D237885">
      <w:pPr>
        <w:numPr>
          <w:ilvl w:val="0"/>
          <w:numId w:val="0"/>
        </w:numPr>
        <w:spacing w:line="280" w:lineRule="exact"/>
        <w:ind w:firstLine="400" w:firstLineChars="200"/>
        <w:rPr>
          <w:rFonts w:eastAsia="宋体"/>
          <w:color w:val="000000"/>
          <w:sz w:val="20"/>
        </w:rPr>
      </w:pPr>
      <w:r>
        <w:rPr>
          <w:rFonts w:eastAsia="宋体"/>
          <w:color w:val="000000"/>
          <w:sz w:val="20"/>
        </w:rPr>
        <w:t>其二，平台责任规则存在制度空白。平台法律地位模糊、责任边界不清，免责条款泛滥、实质规避责任，技术识别能力不足、缺乏行为监测机制，境外注册平台穿透监管乏力。</w:t>
      </w:r>
    </w:p>
    <w:p w14:paraId="608EB123">
      <w:pPr>
        <w:keepNext w:val="0"/>
        <w:keepLines w:val="0"/>
        <w:widowControl/>
        <w:suppressLineNumbers w:val="0"/>
        <w:ind w:firstLine="400" w:firstLineChars="200"/>
        <w:jc w:val="left"/>
        <w:rPr>
          <w:rFonts w:eastAsia="宋体"/>
          <w:color w:val="000000"/>
          <w:sz w:val="20"/>
        </w:rPr>
      </w:pPr>
      <w:r>
        <w:rPr>
          <w:rFonts w:eastAsia="宋体"/>
          <w:color w:val="000000"/>
          <w:sz w:val="20"/>
        </w:rPr>
        <w:t>其三，被害人权利救济与追赃挽损面临现实难题。资金多层嵌套流转难以溯源，民事救济存在定性分歧，涉案财产执行到位率低，专项权益保障制度缺失</w:t>
      </w:r>
      <w:r>
        <w:rPr>
          <w:rFonts w:hint="default" w:ascii="Times New Roman" w:hAnsi="Times New Roman" w:eastAsia="宋体" w:cs="Times New Roman"/>
          <w:color w:val="000000"/>
          <w:kern w:val="0"/>
          <w:sz w:val="19"/>
          <w:szCs w:val="19"/>
          <w:vertAlign w:val="superscript"/>
          <w:lang w:val="en-US" w:eastAsia="zh-CN" w:bidi="ar"/>
        </w:rPr>
        <w:t>[</w:t>
      </w:r>
      <w:r>
        <w:rPr>
          <w:rFonts w:hint="eastAsia" w:eastAsia="宋体" w:cs="Times New Roman"/>
          <w:color w:val="000000"/>
          <w:kern w:val="0"/>
          <w:sz w:val="19"/>
          <w:szCs w:val="19"/>
          <w:vertAlign w:val="superscript"/>
          <w:lang w:val="en-US" w:eastAsia="zh-CN" w:bidi="ar"/>
        </w:rPr>
        <w:t>2</w:t>
      </w:r>
      <w:r>
        <w:rPr>
          <w:rFonts w:hint="default" w:ascii="Times New Roman" w:hAnsi="Times New Roman" w:eastAsia="宋体" w:cs="Times New Roman"/>
          <w:color w:val="000000"/>
          <w:kern w:val="0"/>
          <w:sz w:val="19"/>
          <w:szCs w:val="19"/>
          <w:vertAlign w:val="superscript"/>
          <w:lang w:val="en-US" w:eastAsia="zh-CN" w:bidi="ar"/>
        </w:rPr>
        <w:t>]</w:t>
      </w:r>
      <w:r>
        <w:rPr>
          <w:rFonts w:eastAsia="宋体"/>
          <w:color w:val="000000"/>
          <w:sz w:val="20"/>
        </w:rPr>
        <w:t>。例如，在2023年浙江某案中，被害人被主播以建立恋爱关系为名诱导累计打赏89万元，法院却以“打赏系自愿消费行为”为由驳回其返还请求。</w:t>
      </w:r>
    </w:p>
    <w:p w14:paraId="2BE6EA0E">
      <w:pPr>
        <w:numPr>
          <w:ilvl w:val="0"/>
          <w:numId w:val="0"/>
        </w:numPr>
        <w:spacing w:line="280" w:lineRule="exact"/>
        <w:ind w:firstLine="400" w:firstLineChars="200"/>
        <w:rPr>
          <w:rFonts w:asciiTheme="majorEastAsia" w:hAnsiTheme="majorEastAsia" w:eastAsiaTheme="majorEastAsia" w:cstheme="majorEastAsia"/>
          <w:sz w:val="20"/>
          <w:szCs w:val="20"/>
        </w:rPr>
      </w:pPr>
      <w:r>
        <w:rPr>
          <w:rFonts w:eastAsia="宋体"/>
          <w:color w:val="000000"/>
          <w:sz w:val="20"/>
        </w:rPr>
        <w:t>其四，全链条协同治理存在体系性短板。司法环节标准不统一导致案件流转不畅，跨境执法协作面临多重现实障碍，跨部门长效联动机制缺失，数据壁垒与协查机制滞后制约打击效能</w:t>
      </w:r>
      <w:r>
        <w:rPr>
          <w:rFonts w:hint="default" w:ascii="Times New Roman" w:hAnsi="Times New Roman" w:eastAsia="宋体" w:cs="Times New Roman"/>
          <w:color w:val="000000"/>
          <w:kern w:val="0"/>
          <w:sz w:val="19"/>
          <w:szCs w:val="19"/>
          <w:vertAlign w:val="superscript"/>
          <w:lang w:val="en-US" w:eastAsia="zh-CN" w:bidi="ar"/>
        </w:rPr>
        <w:t>[</w:t>
      </w:r>
      <w:r>
        <w:rPr>
          <w:rFonts w:hint="eastAsia" w:eastAsia="宋体" w:cs="Times New Roman"/>
          <w:color w:val="000000"/>
          <w:kern w:val="0"/>
          <w:sz w:val="19"/>
          <w:szCs w:val="19"/>
          <w:vertAlign w:val="superscript"/>
          <w:lang w:val="en-US" w:eastAsia="zh-CN" w:bidi="ar"/>
        </w:rPr>
        <w:t>3</w:t>
      </w:r>
      <w:r>
        <w:rPr>
          <w:rFonts w:hint="default" w:ascii="Times New Roman" w:hAnsi="Times New Roman" w:eastAsia="宋体" w:cs="Times New Roman"/>
          <w:color w:val="000000"/>
          <w:kern w:val="0"/>
          <w:sz w:val="19"/>
          <w:szCs w:val="19"/>
          <w:vertAlign w:val="superscript"/>
          <w:lang w:val="en-US" w:eastAsia="zh-CN" w:bidi="ar"/>
        </w:rPr>
        <w:t>]</w:t>
      </w:r>
      <w:r>
        <w:rPr>
          <w:rFonts w:eastAsia="宋体"/>
          <w:color w:val="000000"/>
          <w:sz w:val="20"/>
        </w:rPr>
        <w:t>。</w:t>
      </w:r>
    </w:p>
    <w:p w14:paraId="7069BD26">
      <w:pPr>
        <w:pStyle w:val="3"/>
        <w:spacing w:before="120" w:after="120" w:line="280" w:lineRule="exact"/>
        <w:rPr>
          <w:rFonts w:ascii="微软雅黑" w:hAnsi="微软雅黑" w:eastAsia="微软雅黑" w:cs="微软雅黑"/>
          <w:sz w:val="20"/>
          <w:szCs w:val="20"/>
          <w:highlight w:val="yellow"/>
        </w:rPr>
      </w:pPr>
      <w:r>
        <w:rPr>
          <w:rFonts w:hint="eastAsia" w:ascii="微软雅黑" w:hAnsi="微软雅黑" w:eastAsia="微软雅黑" w:cs="微软雅黑"/>
          <w:b w:val="0"/>
          <w:bCs/>
          <w:color w:val="000000"/>
          <w:sz w:val="20"/>
          <w:szCs w:val="20"/>
        </w:rPr>
        <w:t>五、网络交友打赏型直播诈骗犯罪治理的路径优化</w:t>
      </w:r>
    </w:p>
    <w:p w14:paraId="106F5558">
      <w:pPr>
        <w:pStyle w:val="3"/>
        <w:spacing w:before="120" w:after="120" w:line="280" w:lineRule="exact"/>
        <w:rPr>
          <w:rFonts w:hint="eastAsia" w:ascii="微软雅黑" w:hAnsi="微软雅黑" w:eastAsia="微软雅黑" w:cs="微软雅黑"/>
          <w:b w:val="0"/>
          <w:bCs/>
          <w:color w:val="000000"/>
          <w:sz w:val="20"/>
          <w:szCs w:val="20"/>
          <w:lang w:val="en-US" w:eastAsia="zh-CN"/>
        </w:rPr>
      </w:pPr>
      <w:r>
        <w:rPr>
          <w:rFonts w:hint="eastAsia" w:ascii="微软雅黑" w:hAnsi="微软雅黑" w:eastAsia="微软雅黑" w:cs="微软雅黑"/>
          <w:b w:val="0"/>
          <w:bCs/>
          <w:color w:val="000000"/>
          <w:sz w:val="20"/>
          <w:szCs w:val="20"/>
          <w:lang w:val="en-US" w:eastAsia="zh-CN"/>
        </w:rPr>
        <w:t>（一）完善刑事司法认定规则，统一裁判标准</w:t>
      </w:r>
    </w:p>
    <w:p w14:paraId="06213217">
      <w:pPr>
        <w:spacing w:line="280" w:lineRule="exact"/>
        <w:ind w:firstLine="400" w:firstLineChars="200"/>
        <w:rPr>
          <w:rFonts w:asciiTheme="majorEastAsia" w:hAnsiTheme="majorEastAsia" w:eastAsiaTheme="majorEastAsia" w:cstheme="majorEastAsia"/>
          <w:sz w:val="20"/>
          <w:szCs w:val="20"/>
        </w:rPr>
      </w:pPr>
      <w:r>
        <w:rPr>
          <w:rFonts w:eastAsia="宋体"/>
          <w:color w:val="000000"/>
          <w:sz w:val="20"/>
        </w:rPr>
        <w:t>建议通过司法解释或指导性案例，明确情感操控型诈骗行为属于诈骗罪的规制范围，引入“客观化”认定方法</w:t>
      </w:r>
      <w:r>
        <w:rPr>
          <w:rFonts w:hint="default" w:ascii="Times New Roman" w:hAnsi="Times New Roman" w:eastAsia="宋体" w:cs="Times New Roman"/>
          <w:color w:val="000000"/>
          <w:kern w:val="0"/>
          <w:sz w:val="19"/>
          <w:szCs w:val="19"/>
          <w:vertAlign w:val="superscript"/>
          <w:lang w:val="en-US" w:eastAsia="zh-CN" w:bidi="ar"/>
        </w:rPr>
        <w:t>[</w:t>
      </w:r>
      <w:r>
        <w:rPr>
          <w:rFonts w:hint="eastAsia" w:eastAsia="宋体" w:cs="Times New Roman"/>
          <w:color w:val="000000"/>
          <w:kern w:val="0"/>
          <w:sz w:val="19"/>
          <w:szCs w:val="19"/>
          <w:vertAlign w:val="superscript"/>
          <w:lang w:val="en-US" w:eastAsia="zh-CN" w:bidi="ar"/>
        </w:rPr>
        <w:t>4</w:t>
      </w:r>
      <w:r>
        <w:rPr>
          <w:rFonts w:hint="default" w:ascii="Times New Roman" w:hAnsi="Times New Roman" w:eastAsia="宋体" w:cs="Times New Roman"/>
          <w:color w:val="000000"/>
          <w:kern w:val="0"/>
          <w:sz w:val="19"/>
          <w:szCs w:val="19"/>
          <w:vertAlign w:val="superscript"/>
          <w:lang w:val="en-US" w:eastAsia="zh-CN" w:bidi="ar"/>
        </w:rPr>
        <w:t>]</w:t>
      </w:r>
      <w:r>
        <w:rPr>
          <w:rFonts w:eastAsia="宋体"/>
          <w:color w:val="000000"/>
          <w:sz w:val="20"/>
        </w:rPr>
        <w:t>，即通过行为人同时与多名受害人保持虚假恋爱关系、使用高度相似话术、得手后迅速失联等客观行为推定其非法占有目的；采取“行为拆分—分别评价—综合处理”的方法统一罪名竞合的法律适用；在特定条件下实行举证责任倒置，由平台承担部分证据提供义务，并建立“电信网络诈骗案件证据保存指引”，完善证据保全与信息泄露快速响应机制。</w:t>
      </w:r>
    </w:p>
    <w:p w14:paraId="77E480C9">
      <w:pPr>
        <w:pStyle w:val="3"/>
        <w:spacing w:before="120" w:after="120" w:line="280" w:lineRule="exact"/>
        <w:rPr>
          <w:rFonts w:hint="eastAsia" w:ascii="微软雅黑" w:hAnsi="微软雅黑" w:eastAsia="微软雅黑" w:cs="微软雅黑"/>
          <w:b w:val="0"/>
          <w:bCs/>
          <w:color w:val="000000"/>
          <w:sz w:val="20"/>
          <w:szCs w:val="20"/>
          <w:lang w:val="en-US" w:eastAsia="zh-CN"/>
        </w:rPr>
      </w:pPr>
      <w:r>
        <w:rPr>
          <w:rFonts w:hint="eastAsia" w:ascii="微软雅黑" w:hAnsi="微软雅黑" w:eastAsia="微软雅黑" w:cs="微软雅黑"/>
          <w:b w:val="0"/>
          <w:bCs/>
          <w:color w:val="000000"/>
          <w:sz w:val="20"/>
          <w:szCs w:val="20"/>
          <w:lang w:val="en-US" w:eastAsia="zh-CN"/>
        </w:rPr>
        <w:t>（二）构建全链条平台责任体系，压实主体责任</w:t>
      </w:r>
    </w:p>
    <w:p w14:paraId="12D3973C">
      <w:pPr>
        <w:numPr>
          <w:ilvl w:val="0"/>
          <w:numId w:val="0"/>
        </w:numPr>
        <w:spacing w:line="280" w:lineRule="exact"/>
        <w:ind w:firstLine="400" w:firstLineChars="200"/>
        <w:rPr>
          <w:rFonts w:asciiTheme="majorEastAsia" w:hAnsiTheme="majorEastAsia" w:eastAsiaTheme="majorEastAsia" w:cstheme="majorEastAsia"/>
          <w:sz w:val="20"/>
          <w:szCs w:val="20"/>
        </w:rPr>
      </w:pPr>
      <w:r>
        <w:rPr>
          <w:rFonts w:eastAsia="宋体"/>
          <w:color w:val="000000"/>
          <w:sz w:val="20"/>
        </w:rPr>
        <w:t>建议在《反电信网络诈骗法》或相关法规中增设专门条款，明确直播平台在用户注册、身份核验、行为监测、资金流转等环节的审查义务与协助义务，区分行政责任、民事责任与刑事责任；利用大数据与人工智能技术建立“情感诱导+高频打赏+异常充值”高风险行为识别模型，实现实时预警与人工干预；禁止平台以“技术中立”“用户自担”为由规避法律责任，推动责任穿透式落实</w:t>
      </w:r>
      <w:r>
        <w:rPr>
          <w:rFonts w:hint="default" w:ascii="Times New Roman" w:hAnsi="Times New Roman" w:eastAsia="宋体" w:cs="Times New Roman"/>
          <w:color w:val="000000"/>
          <w:kern w:val="0"/>
          <w:sz w:val="19"/>
          <w:szCs w:val="19"/>
          <w:vertAlign w:val="superscript"/>
          <w:lang w:val="en-US" w:eastAsia="zh-CN" w:bidi="ar"/>
        </w:rPr>
        <w:t>[</w:t>
      </w:r>
      <w:r>
        <w:rPr>
          <w:rFonts w:hint="eastAsia" w:eastAsia="宋体" w:cs="Times New Roman"/>
          <w:color w:val="000000"/>
          <w:kern w:val="0"/>
          <w:sz w:val="19"/>
          <w:szCs w:val="19"/>
          <w:vertAlign w:val="superscript"/>
          <w:lang w:val="en-US" w:eastAsia="zh-CN" w:bidi="ar"/>
        </w:rPr>
        <w:t>5</w:t>
      </w:r>
      <w:r>
        <w:rPr>
          <w:rFonts w:hint="default" w:ascii="Times New Roman" w:hAnsi="Times New Roman" w:eastAsia="宋体" w:cs="Times New Roman"/>
          <w:color w:val="000000"/>
          <w:kern w:val="0"/>
          <w:sz w:val="19"/>
          <w:szCs w:val="19"/>
          <w:vertAlign w:val="superscript"/>
          <w:lang w:val="en-US" w:eastAsia="zh-CN" w:bidi="ar"/>
        </w:rPr>
        <w:t>]</w:t>
      </w:r>
      <w:r>
        <w:rPr>
          <w:rFonts w:eastAsia="宋体"/>
          <w:color w:val="000000"/>
          <w:sz w:val="20"/>
        </w:rPr>
        <w:t>；建立全国统一的直播平台反诈信息共享机制，加强境外平台监管与协查，强化公众教育与个人信息保护。</w:t>
      </w:r>
    </w:p>
    <w:p w14:paraId="44CE5873">
      <w:pPr>
        <w:pStyle w:val="3"/>
        <w:spacing w:before="120" w:after="120" w:line="280" w:lineRule="exact"/>
        <w:rPr>
          <w:rFonts w:hint="eastAsia" w:ascii="微软雅黑" w:hAnsi="微软雅黑" w:eastAsia="微软雅黑" w:cs="微软雅黑"/>
          <w:b w:val="0"/>
          <w:bCs/>
          <w:color w:val="000000"/>
          <w:sz w:val="20"/>
          <w:szCs w:val="20"/>
          <w:lang w:val="en-US" w:eastAsia="zh-CN"/>
        </w:rPr>
      </w:pPr>
      <w:r>
        <w:rPr>
          <w:rFonts w:hint="eastAsia" w:ascii="微软雅黑" w:hAnsi="微软雅黑" w:eastAsia="微软雅黑" w:cs="微软雅黑"/>
          <w:b w:val="0"/>
          <w:bCs/>
          <w:color w:val="000000"/>
          <w:sz w:val="20"/>
          <w:szCs w:val="20"/>
          <w:lang w:val="en-US" w:eastAsia="zh-CN"/>
        </w:rPr>
        <w:t>（三）健全被害人救济机制，破解追赃挽损难题</w:t>
      </w:r>
    </w:p>
    <w:p w14:paraId="485210AD">
      <w:pPr>
        <w:numPr>
          <w:ilvl w:val="0"/>
          <w:numId w:val="0"/>
        </w:numPr>
        <w:spacing w:line="280" w:lineRule="exact"/>
        <w:ind w:firstLine="400" w:firstLineChars="200"/>
        <w:rPr>
          <w:rFonts w:asciiTheme="majorEastAsia" w:hAnsiTheme="majorEastAsia" w:eastAsiaTheme="majorEastAsia" w:cstheme="majorEastAsia"/>
          <w:sz w:val="20"/>
          <w:szCs w:val="20"/>
        </w:rPr>
      </w:pPr>
      <w:r>
        <w:rPr>
          <w:rFonts w:eastAsia="宋体"/>
          <w:color w:val="000000"/>
          <w:sz w:val="20"/>
        </w:rPr>
        <w:t>应深化公安机关与直播平台、第三方支付机构、金融科技公司的技术合作，构建覆盖“打赏发起—平台结算—公会分账—资金提现—下游洗钱”的全链路资金追踪系统，将资金拦截关口前移至平台结算环节；加强与东南亚等直播诈骗高发国家的双边执法合作，强化跨境资金监管与反洗钱治理；设立网络直播诈骗受害人专项赔偿基金，建立先行赔付机制，完善打赏合同效力与意思表示瑕疵的认定规则，明确平台、公会、主播未尽审查与预警义务时的连带责任，配套建立被害人法律援助和心理疏导机制。</w:t>
      </w:r>
    </w:p>
    <w:p w14:paraId="09B32D04">
      <w:pPr>
        <w:pStyle w:val="3"/>
        <w:spacing w:before="120" w:after="120" w:line="280" w:lineRule="exact"/>
        <w:rPr>
          <w:rFonts w:hint="eastAsia" w:ascii="微软雅黑" w:hAnsi="微软雅黑" w:eastAsia="微软雅黑" w:cs="微软雅黑"/>
          <w:b w:val="0"/>
          <w:bCs/>
          <w:color w:val="000000"/>
          <w:sz w:val="20"/>
          <w:szCs w:val="20"/>
          <w:lang w:val="en-US" w:eastAsia="zh-CN"/>
        </w:rPr>
      </w:pPr>
      <w:r>
        <w:rPr>
          <w:rFonts w:hint="eastAsia" w:ascii="微软雅黑" w:hAnsi="微软雅黑" w:eastAsia="微软雅黑" w:cs="微软雅黑"/>
          <w:b w:val="0"/>
          <w:bCs/>
          <w:color w:val="000000"/>
          <w:sz w:val="20"/>
          <w:szCs w:val="20"/>
          <w:lang w:val="en-US" w:eastAsia="zh-CN"/>
        </w:rPr>
        <w:t>（四）搭建全链条协同治理体系，强化源头防控</w:t>
      </w:r>
    </w:p>
    <w:p w14:paraId="2F952D06">
      <w:pPr>
        <w:numPr>
          <w:ilvl w:val="0"/>
          <w:numId w:val="0"/>
        </w:numPr>
        <w:spacing w:line="280" w:lineRule="exact"/>
        <w:ind w:firstLine="400" w:firstLineChars="200"/>
        <w:rPr>
          <w:rFonts w:asciiTheme="majorEastAsia" w:hAnsiTheme="majorEastAsia" w:eastAsiaTheme="majorEastAsia" w:cstheme="majorEastAsia"/>
          <w:sz w:val="20"/>
          <w:szCs w:val="20"/>
        </w:rPr>
      </w:pPr>
      <w:r>
        <w:rPr>
          <w:rFonts w:eastAsia="宋体"/>
          <w:color w:val="000000"/>
          <w:sz w:val="20"/>
        </w:rPr>
        <w:t>应整合公安、网信、广电、金融、通信、市场监管等部门治理资源，在各级反诈中心框架下设立网络直播诈骗专项治理专班，构建覆盖全链条的治理数据中台；压实平台、公会（MCN机构）、主播三方主体责任，建立政企双向实时信息通报机制；加强跨境执法与监管协作，推动跨境证据互认、犯罪嫌疑人快速遣返和涉案资产联合追缴机制建设</w:t>
      </w:r>
      <w:r>
        <w:rPr>
          <w:rFonts w:hint="default" w:ascii="Times New Roman" w:hAnsi="Times New Roman" w:eastAsia="宋体" w:cs="Times New Roman"/>
          <w:color w:val="000000"/>
          <w:kern w:val="0"/>
          <w:sz w:val="19"/>
          <w:szCs w:val="19"/>
          <w:vertAlign w:val="superscript"/>
          <w:lang w:val="en-US" w:eastAsia="zh-CN" w:bidi="ar"/>
        </w:rPr>
        <w:t>[</w:t>
      </w:r>
      <w:r>
        <w:rPr>
          <w:rFonts w:hint="eastAsia" w:eastAsia="宋体" w:cs="Times New Roman"/>
          <w:color w:val="000000"/>
          <w:kern w:val="0"/>
          <w:sz w:val="19"/>
          <w:szCs w:val="19"/>
          <w:vertAlign w:val="superscript"/>
          <w:lang w:val="en-US" w:eastAsia="zh-CN" w:bidi="ar"/>
        </w:rPr>
        <w:t>6</w:t>
      </w:r>
      <w:r>
        <w:rPr>
          <w:rFonts w:hint="default" w:ascii="Times New Roman" w:hAnsi="Times New Roman" w:eastAsia="宋体" w:cs="Times New Roman"/>
          <w:color w:val="000000"/>
          <w:kern w:val="0"/>
          <w:sz w:val="19"/>
          <w:szCs w:val="19"/>
          <w:vertAlign w:val="superscript"/>
          <w:lang w:val="en-US" w:eastAsia="zh-CN" w:bidi="ar"/>
        </w:rPr>
        <w:t>]</w:t>
      </w:r>
      <w:r>
        <w:rPr>
          <w:rFonts w:eastAsia="宋体"/>
          <w:color w:val="000000"/>
          <w:sz w:val="20"/>
        </w:rPr>
        <w:t>；加大对反诈技术研发投入，构建覆盖社交引流、直播互动、私信聊天、打赏支付全环节的涉诈行为识别模型，实现从“被动打击”向“主动预防”的转变。</w:t>
      </w:r>
    </w:p>
    <w:p w14:paraId="0E0752CF">
      <w:pPr>
        <w:pStyle w:val="3"/>
        <w:spacing w:before="120" w:after="120" w:line="280" w:lineRule="exact"/>
        <w:rPr>
          <w:rFonts w:ascii="微软雅黑" w:hAnsi="微软雅黑" w:eastAsia="微软雅黑" w:cs="微软雅黑"/>
          <w:sz w:val="20"/>
          <w:szCs w:val="20"/>
          <w:highlight w:val="yellow"/>
        </w:rPr>
      </w:pPr>
      <w:r>
        <w:rPr>
          <w:rFonts w:hint="eastAsia" w:ascii="微软雅黑" w:hAnsi="微软雅黑" w:eastAsia="微软雅黑" w:cs="微软雅黑"/>
          <w:b w:val="0"/>
          <w:bCs/>
          <w:color w:val="000000"/>
          <w:sz w:val="20"/>
          <w:szCs w:val="20"/>
        </w:rPr>
        <w:t>六、结论</w:t>
      </w:r>
    </w:p>
    <w:p w14:paraId="15E2F146">
      <w:pPr>
        <w:spacing w:line="280" w:lineRule="exact"/>
        <w:ind w:firstLine="400" w:firstLineChars="200"/>
        <w:rPr>
          <w:rFonts w:asciiTheme="majorEastAsia" w:hAnsiTheme="majorEastAsia" w:eastAsiaTheme="majorEastAsia" w:cstheme="majorEastAsia"/>
          <w:sz w:val="20"/>
          <w:szCs w:val="20"/>
        </w:rPr>
      </w:pPr>
      <w:r>
        <w:rPr>
          <w:rFonts w:eastAsia="宋体"/>
          <w:color w:val="000000"/>
          <w:sz w:val="20"/>
        </w:rPr>
        <w:t>网络交友打赏型直播诈骗凭借其高度隐蔽性与组织化特征，已成为新型网络犯罪的重要形态。本文系统梳理了该类犯罪的行为特征、生成机理与治理困境，研究表明：消费属性与诈骗行为的深度交织导致民刑界限模糊与司法认定标准不统一；平台责任边界不清、免责条款滥用与监管缺位是此类犯罪高发的重要制度诱因；资金多层流转与跨境转移加剧追赃难度，跨部门协同机制不畅制约整体治理效能。未来应在完善刑事司法认定规则、构建全链条平台责任体系、健全被害人救济机制、搭建全链条协同治理体系等方面持续发力，同时扩大实证研究样本范围，结合人工智能反诈技术开展量化分析，探索平台先行赔付等具体制度的实践应用，为新型网络犯罪治理提供更具操作性的方案。</w:t>
      </w:r>
    </w:p>
    <w:p w14:paraId="321C09A9">
      <w:pPr>
        <w:rPr>
          <w:rFonts w:asciiTheme="minorEastAsia" w:hAnsiTheme="minorEastAsia" w:eastAsiaTheme="minorEastAsia" w:cstheme="minorEastAsia"/>
          <w:szCs w:val="21"/>
        </w:rPr>
        <w:sectPr>
          <w:type w:val="continuous"/>
          <w:pgSz w:w="11906" w:h="16838"/>
          <w:pgMar w:top="1497" w:right="1080" w:bottom="1440" w:left="1080" w:header="1020" w:footer="1077" w:gutter="0"/>
          <w:cols w:space="425" w:num="1"/>
          <w:titlePg/>
          <w:docGrid w:type="lines" w:linePitch="312" w:charSpace="0"/>
        </w:sectPr>
      </w:pPr>
    </w:p>
    <w:p w14:paraId="296E4979">
      <w:pPr>
        <w:rPr>
          <w:rFonts w:asciiTheme="minorEastAsia" w:hAnsiTheme="minorEastAsia" w:eastAsiaTheme="minorEastAsia" w:cstheme="minorEastAsia"/>
          <w:szCs w:val="21"/>
        </w:rPr>
      </w:pPr>
    </w:p>
    <w:p w14:paraId="0EC52294">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宋体" w:hAnsi="宋体" w:eastAsia="宋体" w:cs="宋体"/>
          <w:sz w:val="20"/>
          <w:szCs w:val="20"/>
        </w:rPr>
      </w:pPr>
      <w:r>
        <w:rPr>
          <w:rFonts w:hint="eastAsia" w:ascii="宋体" w:hAnsi="宋体" w:eastAsia="宋体" w:cs="宋体"/>
          <w:sz w:val="20"/>
          <w:szCs w:val="20"/>
        </w:rPr>
        <w:t>参考文献：</w:t>
      </w:r>
    </w:p>
    <w:p w14:paraId="0F694F7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1</w:t>
      </w: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 xml:space="preserve"> </w:t>
      </w:r>
      <w:r>
        <w:rPr>
          <w:rFonts w:hint="eastAsia" w:ascii="宋体" w:hAnsi="宋体" w:eastAsia="宋体" w:cs="宋体"/>
          <w:color w:val="000000"/>
          <w:kern w:val="0"/>
          <w:sz w:val="20"/>
          <w:szCs w:val="20"/>
          <w:lang w:bidi="ar"/>
        </w:rPr>
        <w:t>袁汉兴.“杀猪盘”犯罪案件的定性与处罚——同案不同判引发的思考[J].北京社会科学, 2021</w:t>
      </w:r>
      <w:r>
        <w:rPr>
          <w:rFonts w:hint="eastAsia" w:ascii="宋体" w:hAnsi="宋体" w:eastAsia="宋体" w:cs="宋体"/>
          <w:kern w:val="0"/>
          <w:sz w:val="20"/>
          <w:szCs w:val="20"/>
          <w:lang w:bidi="ar"/>
        </w:rPr>
        <w:t>,</w:t>
      </w:r>
      <w:r>
        <w:rPr>
          <w:rFonts w:hint="eastAsia" w:ascii="宋体" w:hAnsi="宋体" w:eastAsia="宋体" w:cs="宋体"/>
          <w:color w:val="000000"/>
          <w:kern w:val="0"/>
          <w:sz w:val="20"/>
          <w:szCs w:val="20"/>
          <w:lang w:bidi="ar"/>
        </w:rPr>
        <w:t>(02):87-101.</w:t>
      </w:r>
    </w:p>
    <w:p w14:paraId="694574A1">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2</w:t>
      </w: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 xml:space="preserve"> </w:t>
      </w:r>
      <w:r>
        <w:rPr>
          <w:rFonts w:hint="eastAsia" w:ascii="宋体" w:hAnsi="宋体" w:eastAsia="宋体" w:cs="宋体"/>
          <w:color w:val="000000"/>
          <w:kern w:val="0"/>
          <w:sz w:val="20"/>
          <w:szCs w:val="20"/>
          <w:lang w:bidi="ar"/>
        </w:rPr>
        <w:t xml:space="preserve">李明楷.网络直播打赏用户的权益保护研究[D].上海:上海师范大学, 2022. </w:t>
      </w:r>
    </w:p>
    <w:p w14:paraId="5721D53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3</w:t>
      </w: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 xml:space="preserve"> </w:t>
      </w:r>
      <w:r>
        <w:rPr>
          <w:rFonts w:hint="eastAsia" w:ascii="宋体" w:hAnsi="宋体" w:eastAsia="宋体" w:cs="宋体"/>
          <w:color w:val="000000"/>
          <w:kern w:val="0"/>
          <w:sz w:val="20"/>
          <w:szCs w:val="20"/>
          <w:lang w:bidi="ar"/>
        </w:rPr>
        <w:t>王瀚宇</w:t>
      </w:r>
      <w:r>
        <w:rPr>
          <w:rFonts w:hint="eastAsia" w:ascii="宋体" w:hAnsi="宋体" w:eastAsia="宋体" w:cs="宋体"/>
          <w:kern w:val="0"/>
          <w:sz w:val="20"/>
          <w:szCs w:val="20"/>
          <w:lang w:bidi="ar"/>
        </w:rPr>
        <w:t xml:space="preserve">, </w:t>
      </w:r>
      <w:r>
        <w:rPr>
          <w:rFonts w:hint="eastAsia" w:ascii="宋体" w:hAnsi="宋体" w:eastAsia="宋体" w:cs="宋体"/>
          <w:color w:val="000000"/>
          <w:kern w:val="0"/>
          <w:sz w:val="20"/>
          <w:szCs w:val="20"/>
          <w:lang w:bidi="ar"/>
        </w:rPr>
        <w:t>郝英兵.犯罪场视域下网络交友诈骗犯罪的防控对策[J].犯罪与改造研究</w:t>
      </w:r>
      <w:r>
        <w:rPr>
          <w:rFonts w:hint="eastAsia" w:ascii="宋体" w:hAnsi="宋体" w:eastAsia="宋体" w:cs="宋体"/>
          <w:kern w:val="0"/>
          <w:sz w:val="20"/>
          <w:szCs w:val="20"/>
          <w:lang w:bidi="ar"/>
        </w:rPr>
        <w:t>,</w:t>
      </w:r>
      <w:r>
        <w:rPr>
          <w:rFonts w:hint="eastAsia" w:ascii="宋体" w:hAnsi="宋体" w:eastAsia="宋体" w:cs="宋体"/>
          <w:color w:val="000000"/>
          <w:kern w:val="0"/>
          <w:sz w:val="20"/>
          <w:szCs w:val="20"/>
          <w:lang w:bidi="ar"/>
        </w:rPr>
        <w:t>2024</w:t>
      </w:r>
      <w:r>
        <w:rPr>
          <w:rFonts w:hint="eastAsia" w:ascii="宋体" w:hAnsi="宋体" w:eastAsia="宋体" w:cs="宋体"/>
          <w:kern w:val="0"/>
          <w:sz w:val="20"/>
          <w:szCs w:val="20"/>
          <w:lang w:bidi="ar"/>
        </w:rPr>
        <w:t>,(</w:t>
      </w:r>
      <w:r>
        <w:rPr>
          <w:rFonts w:hint="eastAsia" w:ascii="宋体" w:hAnsi="宋体" w:eastAsia="宋体" w:cs="宋体"/>
          <w:color w:val="000000"/>
          <w:kern w:val="0"/>
          <w:sz w:val="20"/>
          <w:szCs w:val="20"/>
          <w:lang w:bidi="ar"/>
        </w:rPr>
        <w:t>03</w:t>
      </w:r>
      <w:r>
        <w:rPr>
          <w:rFonts w:hint="eastAsia" w:ascii="宋体" w:hAnsi="宋体" w:eastAsia="宋体" w:cs="宋体"/>
          <w:kern w:val="0"/>
          <w:sz w:val="20"/>
          <w:szCs w:val="20"/>
          <w:lang w:bidi="ar"/>
        </w:rPr>
        <w:t>):</w:t>
      </w:r>
      <w:r>
        <w:rPr>
          <w:rFonts w:hint="eastAsia" w:ascii="宋体" w:hAnsi="宋体" w:eastAsia="宋体" w:cs="宋体"/>
          <w:color w:val="000000"/>
          <w:kern w:val="0"/>
          <w:sz w:val="20"/>
          <w:szCs w:val="20"/>
          <w:lang w:bidi="ar"/>
        </w:rPr>
        <w:t>30-37.</w:t>
      </w:r>
    </w:p>
    <w:p w14:paraId="02F83828">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4</w:t>
      </w:r>
      <w:r>
        <w:rPr>
          <w:rFonts w:hint="eastAsia" w:ascii="宋体" w:hAnsi="宋体" w:eastAsia="宋体" w:cs="宋体"/>
          <w:color w:val="000000"/>
          <w:kern w:val="0"/>
          <w:sz w:val="20"/>
          <w:szCs w:val="20"/>
          <w:lang w:bidi="ar"/>
        </w:rPr>
        <w:t>] 赵豪南.论网络直播打赏欺诈[D].宁波:宁波大学, 2020.</w:t>
      </w:r>
    </w:p>
    <w:p w14:paraId="760557C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5</w:t>
      </w:r>
      <w:r>
        <w:rPr>
          <w:rFonts w:hint="eastAsia" w:ascii="宋体" w:hAnsi="宋体" w:eastAsia="宋体" w:cs="宋体"/>
          <w:color w:val="000000"/>
          <w:kern w:val="0"/>
          <w:sz w:val="20"/>
          <w:szCs w:val="20"/>
          <w:lang w:bidi="ar"/>
        </w:rPr>
        <w:t>] 杨理.“杀猪盘”式电信网络诈骗行为的法律防治研究[D].北京:中国人民公安大学, 2025.</w:t>
      </w:r>
    </w:p>
    <w:p w14:paraId="2154EFD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6</w:t>
      </w:r>
      <w:r>
        <w:rPr>
          <w:rFonts w:hint="eastAsia" w:ascii="宋体" w:hAnsi="宋体" w:eastAsia="宋体" w:cs="宋体"/>
          <w:color w:val="000000"/>
          <w:kern w:val="0"/>
          <w:sz w:val="20"/>
          <w:szCs w:val="20"/>
          <w:lang w:bidi="ar"/>
        </w:rPr>
        <w:t>] 温植元.总体国家安全观视角下打击跨境电信诈骗路径研究[J].中国军转民, 2025</w:t>
      </w:r>
      <w:r>
        <w:rPr>
          <w:rFonts w:hint="eastAsia" w:ascii="宋体" w:hAnsi="宋体" w:eastAsia="宋体" w:cs="宋体"/>
          <w:kern w:val="0"/>
          <w:sz w:val="20"/>
          <w:szCs w:val="20"/>
          <w:lang w:bidi="ar"/>
        </w:rPr>
        <w:t>,</w:t>
      </w:r>
      <w:r>
        <w:rPr>
          <w:rFonts w:hint="eastAsia" w:ascii="宋体" w:hAnsi="宋体" w:eastAsia="宋体" w:cs="宋体"/>
          <w:color w:val="000000"/>
          <w:kern w:val="0"/>
          <w:sz w:val="20"/>
          <w:szCs w:val="20"/>
          <w:lang w:bidi="ar"/>
        </w:rPr>
        <w:t>(11):82-84.</w:t>
      </w:r>
    </w:p>
    <w:p w14:paraId="6827E39C">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宋体" w:hAnsi="宋体" w:eastAsia="宋体" w:cs="宋体"/>
          <w:color w:val="000000"/>
          <w:kern w:val="0"/>
          <w:sz w:val="20"/>
          <w:szCs w:val="20"/>
          <w:lang w:bidi="ar"/>
        </w:rPr>
      </w:pPr>
    </w:p>
    <w:p w14:paraId="5282F2FC">
      <w:pPr>
        <w:keepNext/>
        <w:jc w:val="center"/>
        <w:rPr>
          <w:rFonts w:ascii="Times New Roman Bold" w:hAnsi="Times New Roman Bold" w:eastAsia="宋体" w:cs="Times New Roman Bold"/>
          <w:b/>
          <w:bCs/>
          <w:iCs/>
          <w:sz w:val="28"/>
          <w:szCs w:val="28"/>
          <w:highlight w:val="yellow"/>
        </w:rPr>
      </w:pPr>
      <w:r>
        <w:rPr>
          <w:rFonts w:ascii="Times New Roman" w:hAnsi="Times New Roman"/>
          <w:b/>
          <w:color w:val="000000"/>
          <w:sz w:val="28"/>
          <w:szCs w:val="28"/>
        </w:rPr>
        <w:t>Research on the Governance of Online Dating Reward-Based Livestream Fraud Crime</w:t>
      </w:r>
    </w:p>
    <w:p w14:paraId="04B09780">
      <w:pPr>
        <w:spacing w:after="120"/>
        <w:jc w:val="center"/>
        <w:rPr>
          <w:rFonts w:ascii="Times New Roman Bold" w:hAnsi="Times New Roman Bold" w:eastAsia="宋体" w:cs="Times New Roman Bold"/>
          <w:b/>
          <w:bCs/>
          <w:iCs/>
          <w:sz w:val="20"/>
          <w:szCs w:val="20"/>
        </w:rPr>
      </w:pPr>
    </w:p>
    <w:p w14:paraId="05B0B6D6">
      <w:pPr>
        <w:spacing w:after="120"/>
        <w:jc w:val="center"/>
        <w:rPr>
          <w:rFonts w:ascii="Times New Roman Bold" w:hAnsi="Times New Roman Bold" w:eastAsia="宋体" w:cs="Times New Roman Bold"/>
          <w:b/>
          <w:bCs/>
          <w:iCs/>
          <w:sz w:val="20"/>
          <w:szCs w:val="20"/>
        </w:rPr>
      </w:pPr>
      <w:r>
        <w:rPr>
          <w:rFonts w:ascii="Times New Roman" w:hAnsi="Times New Roman" w:eastAsia="宋体" w:cs="Times New Roman Bold"/>
          <w:b/>
          <w:bCs/>
          <w:iCs/>
          <w:color w:val="000000"/>
          <w:sz w:val="20"/>
          <w:szCs w:val="20"/>
        </w:rPr>
        <w:t>Zou Aiqing</w:t>
      </w:r>
      <w:r>
        <w:rPr>
          <w:rFonts w:ascii="Times New Roman Bold" w:hAnsi="Times New Roman Bold" w:eastAsia="宋体" w:cs="Times New Roman Bold"/>
          <w:b/>
          <w:bCs/>
          <w:iCs/>
          <w:sz w:val="20"/>
          <w:szCs w:val="20"/>
          <w:vertAlign w:val="superscript"/>
        </w:rPr>
        <w:t>1</w:t>
      </w:r>
      <w:r>
        <w:rPr>
          <w:rFonts w:ascii="Times New Roman" w:hAnsi="Times New Roman" w:eastAsia="宋体" w:cs="Times New Roman Bold"/>
          <w:b/>
          <w:bCs/>
          <w:iCs/>
          <w:color w:val="000000"/>
          <w:sz w:val="20"/>
          <w:szCs w:val="20"/>
        </w:rPr>
        <w:t>, Xu Ruichao</w:t>
      </w:r>
      <w:r>
        <w:rPr>
          <w:rFonts w:ascii="Times New Roman Bold" w:hAnsi="Times New Roman Bold" w:eastAsia="宋体" w:cs="Times New Roman Bold"/>
          <w:b/>
          <w:bCs/>
          <w:iCs/>
          <w:sz w:val="20"/>
          <w:szCs w:val="20"/>
          <w:vertAlign w:val="superscript"/>
        </w:rPr>
        <w:t>2</w:t>
      </w:r>
      <w:r>
        <w:rPr>
          <w:rFonts w:ascii="Times New Roman" w:hAnsi="Times New Roman" w:eastAsia="宋体" w:cs="Times New Roman Bold"/>
          <w:b/>
          <w:bCs/>
          <w:iCs/>
          <w:color w:val="000000"/>
          <w:sz w:val="20"/>
          <w:szCs w:val="20"/>
        </w:rPr>
        <w:t>, Luo Yuming</w:t>
      </w:r>
      <w:r>
        <w:rPr>
          <w:rFonts w:ascii="Times New Roman Bold" w:hAnsi="Times New Roman Bold" w:eastAsia="宋体" w:cs="Times New Roman Bold"/>
          <w:b/>
          <w:bCs/>
          <w:iCs/>
          <w:sz w:val="20"/>
          <w:szCs w:val="20"/>
          <w:vertAlign w:val="superscript"/>
        </w:rPr>
        <w:t>2</w:t>
      </w:r>
    </w:p>
    <w:p w14:paraId="64BFB871">
      <w:pPr>
        <w:spacing w:after="120"/>
        <w:jc w:val="center"/>
        <w:rPr>
          <w:rFonts w:hint="default" w:ascii="Times New Roman Regular" w:hAnsi="Times New Roman Regular" w:eastAsia="宋体" w:cs="Times New Roman Regular"/>
          <w:i/>
          <w:sz w:val="20"/>
          <w:szCs w:val="20"/>
          <w:vertAlign w:val="superscript"/>
          <w:lang w:val="en-US" w:eastAsia="zh-CN"/>
        </w:rPr>
      </w:pPr>
      <w:r>
        <w:rPr>
          <w:rFonts w:ascii="Times New Roman Regular" w:hAnsi="Times New Roman Regular" w:eastAsia="宋体" w:cs="Times New Roman Regular"/>
          <w:i/>
          <w:sz w:val="20"/>
          <w:szCs w:val="20"/>
          <w:vertAlign w:val="superscript"/>
        </w:rPr>
        <w:t xml:space="preserve">1 </w:t>
      </w:r>
      <w:r>
        <w:rPr>
          <w:rFonts w:hint="default" w:ascii="Times New Roman Regular" w:hAnsi="Times New Roman Regular" w:eastAsia="宋体" w:cs="Times New Roman Regular"/>
          <w:i/>
          <w:sz w:val="20"/>
          <w:szCs w:val="20"/>
          <w:vertAlign w:val="superscript"/>
          <w:lang w:val="en-US" w:eastAsia="zh-CN"/>
        </w:rPr>
        <w:t>Nanjing</w:t>
      </w:r>
      <w:r>
        <w:rPr>
          <w:rFonts w:hint="eastAsia" w:ascii="Times New Roman Regular" w:hAnsi="Times New Roman Regular" w:eastAsia="宋体" w:cs="Times New Roman Regular"/>
          <w:i/>
          <w:sz w:val="20"/>
          <w:szCs w:val="20"/>
          <w:vertAlign w:val="superscript"/>
          <w:lang w:val="en-US" w:eastAsia="zh-CN"/>
        </w:rPr>
        <w:t xml:space="preserve"> </w:t>
      </w:r>
      <w:r>
        <w:rPr>
          <w:rFonts w:hint="default" w:ascii="Times New Roman Regular" w:hAnsi="Times New Roman Regular" w:eastAsia="宋体" w:cs="Times New Roman Regular"/>
          <w:i/>
          <w:sz w:val="20"/>
          <w:szCs w:val="20"/>
          <w:vertAlign w:val="superscript"/>
          <w:lang w:val="en-US" w:eastAsia="zh-CN"/>
        </w:rPr>
        <w:t>Tech</w:t>
      </w:r>
      <w:r>
        <w:rPr>
          <w:rFonts w:hint="eastAsia" w:ascii="Times New Roman Regular" w:hAnsi="Times New Roman Regular" w:eastAsia="宋体" w:cs="Times New Roman Regular"/>
          <w:i/>
          <w:sz w:val="20"/>
          <w:szCs w:val="20"/>
          <w:vertAlign w:val="superscript"/>
          <w:lang w:val="en-US" w:eastAsia="zh-CN"/>
        </w:rPr>
        <w:t xml:space="preserve"> </w:t>
      </w:r>
      <w:r>
        <w:rPr>
          <w:rFonts w:hint="default" w:ascii="Times New Roman Regular" w:hAnsi="Times New Roman Regular" w:eastAsia="宋体" w:cs="Times New Roman Regular"/>
          <w:i/>
          <w:sz w:val="20"/>
          <w:szCs w:val="20"/>
          <w:vertAlign w:val="superscript"/>
          <w:lang w:val="en-US" w:eastAsia="zh-CN"/>
        </w:rPr>
        <w:t>University,Jiangsu,Nanjing211816,China</w:t>
      </w:r>
    </w:p>
    <w:p w14:paraId="17E0C676">
      <w:pPr>
        <w:spacing w:after="120"/>
        <w:jc w:val="center"/>
        <w:rPr>
          <w:rFonts w:hint="default" w:ascii="Times New Roman Regular" w:hAnsi="Times New Roman Regular" w:eastAsia="宋体" w:cs="Times New Roman Regular"/>
          <w:i/>
          <w:sz w:val="20"/>
          <w:szCs w:val="20"/>
          <w:vertAlign w:val="superscript"/>
          <w:lang w:val="en-US" w:eastAsia="zh-CN"/>
        </w:rPr>
      </w:pPr>
      <w:r>
        <w:rPr>
          <w:rFonts w:ascii="Times New Roman Regular" w:hAnsi="Times New Roman Regular" w:eastAsia="宋体" w:cs="Times New Roman Regular"/>
          <w:i/>
          <w:sz w:val="20"/>
          <w:szCs w:val="20"/>
          <w:vertAlign w:val="superscript"/>
        </w:rPr>
        <w:t xml:space="preserve">2 </w:t>
      </w:r>
      <w:r>
        <w:rPr>
          <w:rFonts w:hint="default" w:ascii="Times New Roman Regular" w:hAnsi="Times New Roman Regular" w:eastAsia="宋体" w:cs="Times New Roman Regular"/>
          <w:i/>
          <w:sz w:val="20"/>
          <w:szCs w:val="20"/>
          <w:vertAlign w:val="superscript"/>
          <w:lang w:val="en-US" w:eastAsia="zh-CN"/>
        </w:rPr>
        <w:t>Nanjing</w:t>
      </w:r>
      <w:r>
        <w:rPr>
          <w:rFonts w:hint="eastAsia" w:ascii="Times New Roman Regular" w:hAnsi="Times New Roman Regular" w:eastAsia="宋体" w:cs="Times New Roman Regular"/>
          <w:i/>
          <w:sz w:val="20"/>
          <w:szCs w:val="20"/>
          <w:vertAlign w:val="superscript"/>
          <w:lang w:val="en-US" w:eastAsia="zh-CN"/>
        </w:rPr>
        <w:t xml:space="preserve"> </w:t>
      </w:r>
      <w:r>
        <w:rPr>
          <w:rFonts w:hint="default" w:ascii="Times New Roman Regular" w:hAnsi="Times New Roman Regular" w:eastAsia="宋体" w:cs="Times New Roman Regular"/>
          <w:i/>
          <w:sz w:val="20"/>
          <w:szCs w:val="20"/>
          <w:vertAlign w:val="superscript"/>
          <w:lang w:val="en-US" w:eastAsia="zh-CN"/>
        </w:rPr>
        <w:t>Tech</w:t>
      </w:r>
      <w:r>
        <w:rPr>
          <w:rFonts w:hint="eastAsia" w:ascii="Times New Roman Regular" w:hAnsi="Times New Roman Regular" w:eastAsia="宋体" w:cs="Times New Roman Regular"/>
          <w:i/>
          <w:sz w:val="20"/>
          <w:szCs w:val="20"/>
          <w:vertAlign w:val="superscript"/>
          <w:lang w:val="en-US" w:eastAsia="zh-CN"/>
        </w:rPr>
        <w:t xml:space="preserve"> </w:t>
      </w:r>
      <w:r>
        <w:rPr>
          <w:rFonts w:hint="default" w:ascii="Times New Roman Regular" w:hAnsi="Times New Roman Regular" w:eastAsia="宋体" w:cs="Times New Roman Regular"/>
          <w:i/>
          <w:sz w:val="20"/>
          <w:szCs w:val="20"/>
          <w:vertAlign w:val="superscript"/>
          <w:lang w:val="en-US" w:eastAsia="zh-CN"/>
        </w:rPr>
        <w:t>University,Jiangsu,Nanjing211816,China</w:t>
      </w:r>
    </w:p>
    <w:p w14:paraId="3103FBAE">
      <w:pPr>
        <w:jc w:val="left"/>
        <w:rPr>
          <w:rFonts w:ascii="Times New Roman" w:hAnsi="Times New Roman" w:eastAsia="Times New Roman" w:cs="Times New Roman"/>
          <w:b w:val="0"/>
          <w:bCs w:val="0"/>
          <w:color w:val="000000"/>
          <w:sz w:val="20"/>
          <w:szCs w:val="20"/>
        </w:rPr>
      </w:pPr>
      <w:r>
        <w:rPr>
          <w:rFonts w:ascii="Times New Roman" w:hAnsi="Times New Roman" w:eastAsia="Times New Roman" w:cs="Times New Roman"/>
          <w:b/>
          <w:bCs/>
          <w:color w:val="000000"/>
          <w:sz w:val="20"/>
          <w:szCs w:val="20"/>
        </w:rPr>
        <w:t>Abstract:</w:t>
      </w:r>
      <w:r>
        <w:rPr>
          <w:rFonts w:ascii="Times New Roman" w:hAnsi="Times New Roman" w:eastAsia="Times New Roman" w:cs="Times New Roman"/>
          <w:b w:val="0"/>
          <w:bCs w:val="0"/>
          <w:color w:val="000000"/>
          <w:sz w:val="20"/>
          <w:szCs w:val="20"/>
        </w:rPr>
        <w:t xml:space="preserve"> Online dating reward-based livestream fraud is a new type of cyber fraud with a high incidence in recent years. It combines fabricated emotional relationships with livestream tipping inducement and obtains illegal gains through the platform's revenue-sharing mechanism, characterized by long cycles, well-divided gang division of labor, consumption attributes concealing the nature of fraud, and complex platform roles. Based on defining the concept of such crime and reviewing its overall trend and behavioral types, this paper analyzes the generation mechanism from five dimensions of criminal subjects, victims, technology, institutional supervision and law, and then examines the achievements and difficulties of current governance. On this basis, it proposes optimization paths from four aspects: improving criminal judicial determination rules, constructing a full-chain platform responsibility system, improving victim relief mechanisms, and establishing a full-chain collaborative governance system, so as to provide theoretical support and practical guidance for the legal response to new types of cyber fraud.</w:t>
      </w:r>
      <w:bookmarkStart w:id="0" w:name="_GoBack"/>
      <w:bookmarkEnd w:id="0"/>
    </w:p>
    <w:p w14:paraId="4E62308B">
      <w:pPr>
        <w:jc w:val="left"/>
        <w:rPr>
          <w:rFonts w:eastAsia="宋体" w:cs="Times New Roman"/>
          <w:b w:val="0"/>
          <w:bCs w:val="0"/>
          <w:sz w:val="20"/>
          <w:szCs w:val="20"/>
        </w:rPr>
      </w:pPr>
      <w:r>
        <w:rPr>
          <w:rFonts w:ascii="Times New Roman" w:hAnsi="Times New Roman" w:eastAsia="Times New Roman" w:cs="Times New Roman"/>
          <w:b/>
          <w:bCs/>
          <w:color w:val="000000"/>
          <w:sz w:val="20"/>
          <w:szCs w:val="20"/>
        </w:rPr>
        <w:t>Keywords:</w:t>
      </w:r>
      <w:r>
        <w:rPr>
          <w:rFonts w:ascii="Times New Roman" w:hAnsi="Times New Roman" w:eastAsia="Times New Roman" w:cs="Times New Roman"/>
          <w:b w:val="0"/>
          <w:bCs w:val="0"/>
          <w:color w:val="000000"/>
          <w:sz w:val="20"/>
          <w:szCs w:val="20"/>
        </w:rPr>
        <w:t xml:space="preserve"> online dating reward-based livestream fraud; legal prevention; governance measures</w:t>
      </w:r>
    </w:p>
    <w:p w14:paraId="27ED1233"/>
    <w:sectPr>
      <w:type w:val="continuous"/>
      <w:pgSz w:w="11906" w:h="16838"/>
      <w:pgMar w:top="1497" w:right="1080" w:bottom="1440" w:left="1080" w:header="1020" w:footer="1077"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
    <w:altName w:val="Segoe Print"/>
    <w:panose1 w:val="020B0604020202020204"/>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Times New Roman Regular">
    <w:altName w:val="Times New Roman"/>
    <w:panose1 w:val="02020503050405090304"/>
    <w:charset w:val="00"/>
    <w:family w:val="auto"/>
    <w:pitch w:val="default"/>
    <w:sig w:usb0="00000000" w:usb1="00000000" w:usb2="00000001" w:usb3="00000000" w:csb0="400001BF" w:csb1="DFF70000"/>
  </w:font>
  <w:font w:name="Times New Roman Bold">
    <w:panose1 w:val="02020503050405090304"/>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4659A">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631A58">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4C631A58">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4D376">
    <w:pPr>
      <w:pStyle w:val="5"/>
      <w:rPr>
        <w:rFonts w:ascii="微软雅黑" w:hAnsi="微软雅黑" w:eastAsia="微软雅黑" w:cs="微软雅黑"/>
      </w:rPr>
    </w:pPr>
    <w:r>
      <w:rPr>
        <w:rFonts w:hint="eastAsia" w:ascii="微软雅黑" w:hAnsi="微软雅黑" w:eastAsia="微软雅黑" w:cs="微软雅黑"/>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CDC22C">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74CDC22C">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FiMjg5OWVkYzUzMzdlYzg1NjY3NGI4NDk2MGI4N2QifQ=="/>
  </w:docVars>
  <w:rsids>
    <w:rsidRoot w:val="775F722A"/>
    <w:rsid w:val="00447F82"/>
    <w:rsid w:val="005F2899"/>
    <w:rsid w:val="006959B6"/>
    <w:rsid w:val="009A441D"/>
    <w:rsid w:val="00AB1ACD"/>
    <w:rsid w:val="00DB7FBD"/>
    <w:rsid w:val="01CD2B81"/>
    <w:rsid w:val="027520D7"/>
    <w:rsid w:val="02C1531D"/>
    <w:rsid w:val="09D678FF"/>
    <w:rsid w:val="0BBE689D"/>
    <w:rsid w:val="0D8943FD"/>
    <w:rsid w:val="0EDB7766"/>
    <w:rsid w:val="0FBC2976"/>
    <w:rsid w:val="102D3FF1"/>
    <w:rsid w:val="166D339A"/>
    <w:rsid w:val="182D52EA"/>
    <w:rsid w:val="1A312930"/>
    <w:rsid w:val="1BE554CD"/>
    <w:rsid w:val="1D232A04"/>
    <w:rsid w:val="20BF07A2"/>
    <w:rsid w:val="20E95D13"/>
    <w:rsid w:val="215544BD"/>
    <w:rsid w:val="2C3F1489"/>
    <w:rsid w:val="2D945E18"/>
    <w:rsid w:val="2F8F3F29"/>
    <w:rsid w:val="32FF3E8B"/>
    <w:rsid w:val="336C62DB"/>
    <w:rsid w:val="35A653E8"/>
    <w:rsid w:val="377C6801"/>
    <w:rsid w:val="3A6467EB"/>
    <w:rsid w:val="3A712BA9"/>
    <w:rsid w:val="3B37445F"/>
    <w:rsid w:val="3C3B4EAB"/>
    <w:rsid w:val="3CFF0268"/>
    <w:rsid w:val="3DFC580C"/>
    <w:rsid w:val="3EFF322C"/>
    <w:rsid w:val="3F5D71D2"/>
    <w:rsid w:val="3FEEE908"/>
    <w:rsid w:val="3FEF0318"/>
    <w:rsid w:val="3FFAAF90"/>
    <w:rsid w:val="406243CC"/>
    <w:rsid w:val="40CA1BEA"/>
    <w:rsid w:val="418D5DEE"/>
    <w:rsid w:val="4315035B"/>
    <w:rsid w:val="43396E18"/>
    <w:rsid w:val="43FC00EC"/>
    <w:rsid w:val="45044A0C"/>
    <w:rsid w:val="47BC567F"/>
    <w:rsid w:val="49227764"/>
    <w:rsid w:val="49BF4AE4"/>
    <w:rsid w:val="4F317A91"/>
    <w:rsid w:val="53CF1048"/>
    <w:rsid w:val="5A2F1CE1"/>
    <w:rsid w:val="5BEF6D2B"/>
    <w:rsid w:val="5C4A2E02"/>
    <w:rsid w:val="5D9E3405"/>
    <w:rsid w:val="5EF76B19"/>
    <w:rsid w:val="5F09239F"/>
    <w:rsid w:val="5F7F0B1E"/>
    <w:rsid w:val="6018205E"/>
    <w:rsid w:val="60223146"/>
    <w:rsid w:val="6200643D"/>
    <w:rsid w:val="639D5F0D"/>
    <w:rsid w:val="64CC3C50"/>
    <w:rsid w:val="6DDB7D5E"/>
    <w:rsid w:val="6DFB9751"/>
    <w:rsid w:val="6FFA4BF7"/>
    <w:rsid w:val="701C6B8F"/>
    <w:rsid w:val="70DA41A9"/>
    <w:rsid w:val="72665C4E"/>
    <w:rsid w:val="7569E1E8"/>
    <w:rsid w:val="75A33BF3"/>
    <w:rsid w:val="76CD589C"/>
    <w:rsid w:val="775F722A"/>
    <w:rsid w:val="78DD4E2C"/>
    <w:rsid w:val="79A94718"/>
    <w:rsid w:val="7A116E46"/>
    <w:rsid w:val="7A74C3DB"/>
    <w:rsid w:val="7DBD4C73"/>
    <w:rsid w:val="7DD73B19"/>
    <w:rsid w:val="7DE20C95"/>
    <w:rsid w:val="7ED45422"/>
    <w:rsid w:val="7F5B2C18"/>
    <w:rsid w:val="7FF2440E"/>
    <w:rsid w:val="7FFF2DE5"/>
    <w:rsid w:val="AFDAD15B"/>
    <w:rsid w:val="AFFFAB61"/>
    <w:rsid w:val="B3FED128"/>
    <w:rsid w:val="BFFDE2D7"/>
    <w:rsid w:val="D36FC262"/>
    <w:rsid w:val="D7FBC08E"/>
    <w:rsid w:val="DDBA5997"/>
    <w:rsid w:val="EDFEB646"/>
    <w:rsid w:val="F0FF4F6A"/>
    <w:rsid w:val="F4EF8B41"/>
    <w:rsid w:val="F6FFCEE6"/>
    <w:rsid w:val="FBFF3634"/>
    <w:rsid w:val="FE3F7F90"/>
    <w:rsid w:val="FEDF2F05"/>
    <w:rsid w:val="FF7FF9C3"/>
    <w:rsid w:val="FFF449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after="260" w:line="413" w:lineRule="auto"/>
      <w:outlineLvl w:val="2"/>
    </w:pPr>
    <w:rPr>
      <w:b/>
      <w:sz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footnote text"/>
    <w:basedOn w:val="1"/>
    <w:qFormat/>
    <w:uiPriority w:val="0"/>
    <w:pPr>
      <w:snapToGrid w:val="0"/>
      <w:jc w:val="left"/>
    </w:pPr>
    <w:rPr>
      <w:sz w:val="18"/>
    </w:rPr>
  </w:style>
  <w:style w:type="character" w:styleId="10">
    <w:name w:val="Hyperlink"/>
    <w:basedOn w:val="9"/>
    <w:qFormat/>
    <w:uiPriority w:val="0"/>
    <w:rPr>
      <w:color w:val="0000FF"/>
      <w:u w:val="single"/>
    </w:rPr>
  </w:style>
  <w:style w:type="character" w:styleId="11">
    <w:name w:val="footnote reference"/>
    <w:basedOn w:val="9"/>
    <w:qFormat/>
    <w:uiPriority w:val="0"/>
    <w:rPr>
      <w:vertAlign w:val="superscript"/>
    </w:rPr>
  </w:style>
  <w:style w:type="character" w:customStyle="1" w:styleId="12">
    <w:name w:val="标题强调 Char"/>
    <w:basedOn w:val="9"/>
    <w:link w:val="13"/>
    <w:qFormat/>
    <w:uiPriority w:val="0"/>
    <w:rPr>
      <w:rFonts w:eastAsia="黑体"/>
      <w:b/>
      <w:kern w:val="0"/>
      <w:szCs w:val="21"/>
    </w:rPr>
  </w:style>
  <w:style w:type="paragraph" w:customStyle="1" w:styleId="13">
    <w:name w:val="标题强调"/>
    <w:basedOn w:val="1"/>
    <w:link w:val="12"/>
    <w:qFormat/>
    <w:uiPriority w:val="0"/>
    <w:pPr>
      <w:widowControl/>
    </w:pPr>
    <w:rPr>
      <w:rFonts w:eastAsia="黑体"/>
      <w:b/>
      <w:kern w:val="0"/>
      <w:szCs w:val="21"/>
    </w:rPr>
  </w:style>
  <w:style w:type="paragraph" w:customStyle="1" w:styleId="14">
    <w:name w:val="摘要"/>
    <w:basedOn w:val="1"/>
    <w:qFormat/>
    <w:uiPriority w:val="0"/>
    <w:pPr>
      <w:ind w:firstLine="803" w:firstLineChars="400"/>
    </w:pPr>
    <w:rPr>
      <w:rFonts w:ascii="宋体" w:hAnsi="宋体"/>
      <w:color w:val="000000"/>
      <w:sz w:val="20"/>
    </w:rPr>
  </w:style>
  <w:style w:type="paragraph" w:customStyle="1" w:styleId="15">
    <w:name w:val="中文页眉"/>
    <w:basedOn w:val="1"/>
    <w:qFormat/>
    <w:uiPriority w:val="0"/>
    <w:pPr>
      <w:spacing w:after="200" w:line="240" w:lineRule="atLeast"/>
      <w:jc w:val="right"/>
    </w:pPr>
    <w:rPr>
      <w:rFonts w:ascii="宋体" w:hAnsi="宋体"/>
      <w:i/>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2134</Words>
  <Characters>2247</Characters>
  <Lines>18</Lines>
  <Paragraphs>5</Paragraphs>
  <TotalTime>5</TotalTime>
  <ScaleCrop>false</ScaleCrop>
  <LinksUpToDate>false</LinksUpToDate>
  <CharactersWithSpaces>2254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2025-02-13T16:54:00Z</dcterms:created>
  <dc:creator>陳未來</dc:creator>
  <cp:lastModifiedBy>微信用户</cp:lastModifiedBy>
  <cp:lastPrinted>2025-04-30T22:20:00Z</cp:lastPrinted>
  <dcterms:modified xsi:type="dcterms:W3CDTF">2026-09-22T03:01:13Z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3CF90583E1F54CFA9F7D9537038265B6_13</vt:lpwstr>
  </property>
  <property fmtid="{D5CDD505-2E9C-101B-9397-08002B2CF9AE}" pid="4" name="KSOTemplateDocerSaveRecord">
    <vt:lpwstr>eyJoZGlkIjoiYjU2NjRmYTYxOWZiNGY0ODQ4NzNlOTQwNzMwZGNjOGMiLCJ1c2VySWQiOiIxMjYwODAwNDk4In0=</vt:lpwstr>
  </property>
</Properties>
</file>